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B2" w:rsidRDefault="00397C58" w:rsidP="007F74B2">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河北文安经济开发区新桥环保科技产业园</w:t>
      </w:r>
    </w:p>
    <w:p w:rsidR="00D347CC" w:rsidRDefault="00B80935" w:rsidP="007F74B2">
      <w:pPr>
        <w:spacing w:line="584"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w:t>
      </w:r>
      <w:r>
        <w:rPr>
          <w:rFonts w:ascii="Times New Roman" w:eastAsia="方正小标宋简体" w:hAnsi="Times New Roman" w:cs="Times New Roman" w:hint="eastAsia"/>
          <w:sz w:val="44"/>
          <w:szCs w:val="44"/>
        </w:rPr>
        <w:t>21</w:t>
      </w:r>
      <w:r>
        <w:rPr>
          <w:rFonts w:ascii="Times New Roman" w:eastAsia="方正小标宋简体" w:hAnsi="Times New Roman" w:cs="Times New Roman"/>
          <w:sz w:val="44"/>
          <w:szCs w:val="44"/>
        </w:rPr>
        <w:t>年部门预算信息公开</w:t>
      </w:r>
      <w:r>
        <w:rPr>
          <w:rFonts w:ascii="Times New Roman" w:eastAsia="方正小标宋简体" w:hAnsi="Times New Roman" w:cs="Times New Roman" w:hint="eastAsia"/>
          <w:sz w:val="44"/>
          <w:szCs w:val="44"/>
        </w:rPr>
        <w:t>情况说明</w:t>
      </w:r>
    </w:p>
    <w:p w:rsidR="00D347CC" w:rsidRDefault="00D347CC">
      <w:pPr>
        <w:spacing w:line="584" w:lineRule="exact"/>
        <w:ind w:firstLineChars="200" w:firstLine="880"/>
        <w:jc w:val="center"/>
        <w:rPr>
          <w:rFonts w:ascii="Times New Roman" w:eastAsia="仿宋_GB2312" w:hAnsi="Times New Roman" w:cs="Times New Roman"/>
          <w:sz w:val="44"/>
          <w:szCs w:val="44"/>
        </w:rPr>
      </w:pPr>
    </w:p>
    <w:p w:rsidR="00D347CC" w:rsidRPr="00185C36" w:rsidRDefault="00B80935">
      <w:pPr>
        <w:spacing w:line="584" w:lineRule="exact"/>
        <w:ind w:firstLineChars="200" w:firstLine="640"/>
        <w:rPr>
          <w:rFonts w:ascii="仿宋" w:eastAsia="仿宋" w:hAnsi="仿宋" w:cs="Times New Roman"/>
          <w:sz w:val="32"/>
          <w:szCs w:val="32"/>
        </w:rPr>
      </w:pPr>
      <w:r w:rsidRPr="00185C36">
        <w:rPr>
          <w:rFonts w:ascii="仿宋" w:eastAsia="仿宋" w:hAnsi="仿宋" w:cs="Times New Roman"/>
          <w:sz w:val="32"/>
          <w:szCs w:val="32"/>
        </w:rPr>
        <w:t>按照《中华人民共和国预算法》、《中华人民共和国预算法实施条例》、《地方预决算公开操作规程》和《河北省省级预算公开办法》规定，现将廊坊市</w:t>
      </w:r>
      <w:r w:rsidR="00397C58">
        <w:rPr>
          <w:rFonts w:ascii="仿宋" w:eastAsia="仿宋" w:hAnsi="仿宋" w:cs="Times New Roman" w:hint="eastAsia"/>
          <w:sz w:val="32"/>
          <w:szCs w:val="32"/>
        </w:rPr>
        <w:t>河北文安经济开发区新桥环保科技产业园</w:t>
      </w:r>
      <w:r w:rsidRPr="00185C36">
        <w:rPr>
          <w:rFonts w:ascii="仿宋" w:eastAsia="仿宋" w:hAnsi="仿宋" w:cs="Times New Roman"/>
          <w:sz w:val="32"/>
          <w:szCs w:val="32"/>
        </w:rPr>
        <w:t>20</w:t>
      </w:r>
      <w:r w:rsidRPr="00185C36">
        <w:rPr>
          <w:rFonts w:ascii="仿宋" w:eastAsia="仿宋" w:hAnsi="仿宋" w:cs="Times New Roman" w:hint="eastAsia"/>
          <w:sz w:val="32"/>
          <w:szCs w:val="32"/>
        </w:rPr>
        <w:t>21</w:t>
      </w:r>
      <w:r w:rsidRPr="00185C36">
        <w:rPr>
          <w:rFonts w:ascii="仿宋" w:eastAsia="仿宋" w:hAnsi="仿宋" w:cs="Times New Roman"/>
          <w:sz w:val="32"/>
          <w:szCs w:val="32"/>
        </w:rPr>
        <w:t>年部门预算公开如下：</w:t>
      </w:r>
    </w:p>
    <w:p w:rsidR="00D347CC" w:rsidRPr="00397C58" w:rsidRDefault="00B80935">
      <w:pPr>
        <w:spacing w:line="584" w:lineRule="exact"/>
        <w:ind w:firstLineChars="200" w:firstLine="640"/>
        <w:rPr>
          <w:rFonts w:ascii="仿宋_GB2312" w:eastAsia="仿宋_GB2312" w:hAnsi="Times New Roman" w:cs="Times New Roman"/>
          <w:sz w:val="32"/>
          <w:szCs w:val="32"/>
        </w:rPr>
      </w:pPr>
      <w:r w:rsidRPr="00397C58">
        <w:rPr>
          <w:rFonts w:ascii="仿宋_GB2312" w:eastAsia="仿宋_GB2312" w:hAnsi="Times New Roman" w:cs="Times New Roman" w:hint="eastAsia"/>
          <w:sz w:val="32"/>
          <w:szCs w:val="32"/>
        </w:rPr>
        <w:t>一、部门职责及机构设置情况</w:t>
      </w:r>
    </w:p>
    <w:p w:rsidR="00D347CC" w:rsidRPr="00397C58" w:rsidRDefault="00B80935" w:rsidP="0014624F">
      <w:pPr>
        <w:spacing w:line="584" w:lineRule="exact"/>
        <w:ind w:firstLineChars="200" w:firstLine="643"/>
        <w:rPr>
          <w:rFonts w:ascii="仿宋_GB2312" w:eastAsia="仿宋_GB2312" w:hAnsi="Times New Roman" w:cs="Times New Roman"/>
          <w:b/>
          <w:sz w:val="32"/>
          <w:szCs w:val="32"/>
        </w:rPr>
      </w:pPr>
      <w:r w:rsidRPr="00397C58">
        <w:rPr>
          <w:rFonts w:ascii="仿宋_GB2312" w:eastAsia="仿宋_GB2312" w:hAnsi="Times New Roman" w:cs="Times New Roman" w:hint="eastAsia"/>
          <w:b/>
          <w:sz w:val="32"/>
          <w:szCs w:val="32"/>
        </w:rPr>
        <w:t>部门职责：</w:t>
      </w:r>
    </w:p>
    <w:p w:rsidR="00397C58" w:rsidRPr="00397C58" w:rsidRDefault="00397C58" w:rsidP="00397C58">
      <w:pPr>
        <w:spacing w:line="500" w:lineRule="exact"/>
        <w:ind w:firstLineChars="200" w:firstLine="640"/>
        <w:jc w:val="left"/>
        <w:rPr>
          <w:rFonts w:ascii="仿宋_GB2312" w:eastAsia="仿宋_GB2312" w:hAnsi="宋体"/>
          <w:sz w:val="32"/>
          <w:szCs w:val="32"/>
        </w:rPr>
      </w:pPr>
      <w:r w:rsidRPr="00397C58">
        <w:rPr>
          <w:rFonts w:ascii="仿宋_GB2312" w:eastAsia="仿宋_GB2312" w:hint="eastAsia"/>
          <w:sz w:val="32"/>
          <w:szCs w:val="32"/>
        </w:rPr>
        <w:t>根据《河北文安经济开发区管理委员会职能配置、内设机构和人员编制规定》， 河北文安经济开发区管理委员会的主要职责是：</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根据《河北文安经济开发区管理委员会职能配置、内设机构和人员编制规定》， 河北文安经济开发区管理委员会的主要职责是：</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一、政府工作运转方面。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负责工委、管委会交办的各项工作部署和督查督办；协调工委、管委会各部门及上级派驻机构的工作；负责辖区内党的组织、宣传及党风廉政工作；指导辖区内党的基层组织建设和党员教育工作；负责工委、管委会各种文件的起草、印发及公文管理工作；负责人大代表建议、政协委员提案的办复；负责辖区内统战、对台和保密工作；负责辖区内工会、共青团、妇联、民兵和武装工作；负责组织重大会议活动；负责对外交流、联络接待、服务保障、安全保卫工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二、规划建设方面。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贯彻执行国家关于土地、建设规划法律法规，负责编制或修订辖区总体建设规划；负责投资项目布局、选址及建筑工程等规划审批工作；按规定权限负责辖区内工程建设和房产管理的相关工作；负责编</w:t>
      </w:r>
      <w:r w:rsidRPr="00397C58">
        <w:rPr>
          <w:rFonts w:ascii="仿宋_GB2312" w:eastAsia="仿宋_GB2312" w:hint="eastAsia"/>
          <w:sz w:val="32"/>
          <w:szCs w:val="32"/>
        </w:rPr>
        <w:lastRenderedPageBreak/>
        <w:t>制辖区土地利用规划，依法组织实施土地征用和开发工作；负责与上级有关部门的对口工作事宜；承办上级交办的其他工作。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三、招商投资促进方面。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研究区内经济发展方向，制定产业政策、编制经济发展年度计划和中长期规划并组织实施；负责分析、研究区内项目发展趋势，制定招商引资工作计划并组织实施；组织编制和发布对外招商项目，组织重大招商活动；负责区内企业各类扶持奖励计划及各项优惠政策的申报争取工作；负责搜集、整理、提供开发区的基本统计资料及定期统计考核资料，并进行统计分析、统计预测和统计监督；受理投资政策和投资环境等方面的咨询；管理区内固定资产投资项目、工业基本建设和技术改造项目；组织协调有关部门解决经济运行和社会发展中的重要问题；负责项目引进后期服务工作；负责项目及企业各种手续的代理服务工作；负责项目的考察、洽谈、论证、审查和报批工作；负责与上级有关部门的对口工作事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四、财政管理方面。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负责贯彻执行各级财政、税收、国有资产管理、财务管理的法律法规和相关制度；负责编制汇总区内各部门预决算、国有资产管理工作；负责协调组织区内各项财政收入按规定缴入上级财政专户，执行收支两条线制度；负责预算安排的区内日常支出等工作；负责落实区内企业扶持政策；负责处理涉及财政、税收、债务等方面的涉外事务；参与区内招投标、商治、验收等工作协调；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 xml:space="preserve">    五、安全生产方面。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组织编制辖区安全生产中长期和年度规划；负责组织安全生产责任制目标管理考核工作，依法对区内安全生产工作实施监督管理；定期分析和预测辖区安全生产形势；研究、协调和解决安全生产中的重大问题；参与、协调安全生产事故的调查处理工作，组织、指挥和协调安全生产救援工作；组织辖区内单位安全生产检查，督促安全隐患</w:t>
      </w:r>
      <w:r w:rsidRPr="00397C58">
        <w:rPr>
          <w:rFonts w:ascii="仿宋_GB2312" w:eastAsia="仿宋_GB2312" w:hint="eastAsia"/>
          <w:sz w:val="32"/>
          <w:szCs w:val="32"/>
        </w:rPr>
        <w:lastRenderedPageBreak/>
        <w:t>的及时整改；负责组织、指导辖区内安全生产工作的宣传、教育与培训工作；负责与上级有关部门的对口工作事宜；承办上级交办的其他工作。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 xml:space="preserve">    六、科技创新与人力资源方面。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负责组织、谋划、申报、管理开发区各类科技项目；负责高新技术产业化项目的谋划、申报和管理；负责科技型中小企业技术创新基金的申报、审核、管理；负责开发区内科技成果的登记、产品鉴定评优；负责开发区内专利、技术市场及科技信息的管理工作；负责开发区科技成果的推广和应用工作。贯彻执行国家、省、市有关人力资源和社会保障事业发展的方针政策和法律法规；拟订并组织实施本区人力资源市场发展规划，促进人力资源合理流动、有效配置；负责促进就业工作，完善公共就业服务体系，健全就业援助制度，完善职业资格制度，建立劳动者的职业培训制度；组织实施城乡社会保险及其补充保险政策和标准，会同有关部门拟订社会保险及其补充保险基金管理和监督制度；负责机关、企事业单位人员工资福利和离退休工作；指导人才管理和开发工作，负责高层次专业技术人才选拔和培养工作；负责公务员综合管理工作；负责劳动、人事争议调解工作；组织实施劳动监察，协调劳动者维权工作，依法查处重大案件；负责区内机构编制工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 xml:space="preserve">    七、社会事务方面。</w:t>
      </w:r>
    </w:p>
    <w:p w:rsidR="00397C58" w:rsidRPr="00397C58" w:rsidRDefault="00397C58" w:rsidP="00397C58">
      <w:pPr>
        <w:spacing w:line="500" w:lineRule="exact"/>
        <w:ind w:firstLineChars="200" w:firstLine="640"/>
        <w:jc w:val="left"/>
        <w:rPr>
          <w:rFonts w:ascii="仿宋_GB2312" w:eastAsia="仿宋_GB2312"/>
          <w:sz w:val="32"/>
          <w:szCs w:val="32"/>
        </w:rPr>
      </w:pPr>
      <w:r w:rsidRPr="00397C58">
        <w:rPr>
          <w:rFonts w:ascii="仿宋_GB2312" w:eastAsia="仿宋_GB2312" w:hint="eastAsia"/>
          <w:sz w:val="32"/>
          <w:szCs w:val="32"/>
        </w:rPr>
        <w:t>负责区内社会公益事业发展规划的编制及实施；按照规定权限，负责辖区内的计划生育、民族宗教、文体、广电、教育、卫生、食品安全、民政及其他社会事务性工作；负责区内社会事业和公益基础设施建设工作；负责区内涉农政策的贯彻落实；负责辖区内农村管理工作，指导辖区内农业服务工作；负责区内村街的民主政治建设；负责与上级有关部门的对口工作事宜；承办上级交办的其他工作。</w:t>
      </w:r>
    </w:p>
    <w:p w:rsidR="00397C58" w:rsidRPr="00397C58" w:rsidRDefault="00397C58" w:rsidP="00397C58">
      <w:pPr>
        <w:spacing w:line="500" w:lineRule="exact"/>
        <w:ind w:firstLineChars="200" w:firstLine="640"/>
        <w:jc w:val="left"/>
        <w:rPr>
          <w:rFonts w:ascii="仿宋_GB2312" w:eastAsia="仿宋_GB2312"/>
          <w:sz w:val="32"/>
          <w:szCs w:val="32"/>
        </w:rPr>
      </w:pPr>
    </w:p>
    <w:p w:rsidR="00397C58" w:rsidRPr="004546C0" w:rsidRDefault="00397C58" w:rsidP="00397C58">
      <w:pPr>
        <w:spacing w:line="500" w:lineRule="exact"/>
        <w:ind w:firstLineChars="200" w:firstLine="560"/>
        <w:jc w:val="left"/>
        <w:rPr>
          <w:rFonts w:ascii="Times New Roman" w:eastAsia="方正仿宋_GBK"/>
          <w:sz w:val="28"/>
        </w:rPr>
      </w:pPr>
    </w:p>
    <w:p w:rsidR="00397C58" w:rsidRDefault="00397C58" w:rsidP="00397C58">
      <w:pPr>
        <w:spacing w:line="500" w:lineRule="exact"/>
        <w:ind w:firstLineChars="200" w:firstLine="560"/>
        <w:jc w:val="left"/>
        <w:rPr>
          <w:rFonts w:ascii="Times New Roman" w:eastAsia="方正仿宋_GBK"/>
          <w:sz w:val="28"/>
        </w:rPr>
        <w:sectPr w:rsidR="00397C58" w:rsidSect="006A4B17">
          <w:footerReference w:type="default" r:id="rId6"/>
          <w:pgSz w:w="11907" w:h="16839"/>
          <w:pgMar w:top="1531" w:right="1134" w:bottom="1474" w:left="1134" w:header="851" w:footer="992" w:gutter="0"/>
          <w:pgNumType w:start="1"/>
          <w:cols w:space="425"/>
          <w:docGrid w:type="lines" w:linePitch="312"/>
        </w:sectPr>
      </w:pPr>
    </w:p>
    <w:p w:rsidR="00D347CC" w:rsidRDefault="00B80935" w:rsidP="0014624F">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b/>
          <w:sz w:val="32"/>
          <w:szCs w:val="32"/>
        </w:rPr>
        <w:lastRenderedPageBreak/>
        <w:t>机构设置：</w:t>
      </w:r>
    </w:p>
    <w:p w:rsidR="0014624F" w:rsidRDefault="0014624F" w:rsidP="0014624F">
      <w:pPr>
        <w:pStyle w:val="a8"/>
        <w:widowControl/>
        <w:shd w:val="clear" w:color="auto" w:fill="FFFFFF"/>
        <w:spacing w:before="0" w:beforeAutospacing="0" w:after="0" w:afterAutospacing="0" w:line="500" w:lineRule="exact"/>
        <w:jc w:val="center"/>
        <w:rPr>
          <w:rFonts w:ascii="黑体" w:eastAsia="黑体" w:hAnsi="Arial" w:cs="仿宋_GB2312"/>
          <w:color w:val="333333"/>
          <w:sz w:val="30"/>
          <w:szCs w:val="30"/>
          <w:shd w:val="clear" w:color="auto" w:fill="FFFFFF"/>
        </w:rPr>
      </w:pPr>
      <w:r>
        <w:rPr>
          <w:rFonts w:ascii="黑体" w:eastAsia="黑体" w:hAnsi="Arial" w:cs="仿宋_GB2312" w:hint="eastAsia"/>
          <w:color w:val="333333"/>
          <w:sz w:val="30"/>
          <w:szCs w:val="30"/>
          <w:shd w:val="clear" w:color="auto" w:fill="FFFFFF"/>
        </w:rPr>
        <w:t>部门机构设置情况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5"/>
        <w:gridCol w:w="1920"/>
        <w:gridCol w:w="2895"/>
        <w:gridCol w:w="4635"/>
      </w:tblGrid>
      <w:tr w:rsidR="0014624F" w:rsidRPr="0021105A" w:rsidTr="00E67F28">
        <w:trPr>
          <w:trHeight w:val="90"/>
        </w:trPr>
        <w:tc>
          <w:tcPr>
            <w:tcW w:w="4635" w:type="dxa"/>
            <w:vAlign w:val="center"/>
          </w:tcPr>
          <w:p w:rsidR="0014624F" w:rsidRPr="0021105A" w:rsidRDefault="0014624F" w:rsidP="00E67F28">
            <w:pPr>
              <w:widowControl/>
              <w:spacing w:line="500" w:lineRule="exact"/>
              <w:jc w:val="center"/>
              <w:rPr>
                <w:rFonts w:ascii="仿宋" w:eastAsia="仿宋" w:hAnsi="仿宋" w:cs="仿宋"/>
                <w:b/>
                <w:bCs/>
                <w:color w:val="484747"/>
                <w:kern w:val="0"/>
                <w:sz w:val="24"/>
                <w:szCs w:val="24"/>
              </w:rPr>
            </w:pPr>
            <w:r w:rsidRPr="0021105A">
              <w:rPr>
                <w:rFonts w:ascii="仿宋" w:eastAsia="仿宋" w:hAnsi="仿宋" w:cs="仿宋" w:hint="eastAsia"/>
                <w:b/>
                <w:bCs/>
                <w:color w:val="484747"/>
                <w:kern w:val="0"/>
                <w:sz w:val="24"/>
                <w:szCs w:val="24"/>
              </w:rPr>
              <w:t>单位名称</w:t>
            </w:r>
          </w:p>
        </w:tc>
        <w:tc>
          <w:tcPr>
            <w:tcW w:w="1920" w:type="dxa"/>
            <w:vAlign w:val="center"/>
          </w:tcPr>
          <w:p w:rsidR="0014624F" w:rsidRPr="0021105A" w:rsidRDefault="0014624F" w:rsidP="00E67F28">
            <w:pPr>
              <w:widowControl/>
              <w:spacing w:line="500" w:lineRule="exact"/>
              <w:jc w:val="center"/>
              <w:rPr>
                <w:rFonts w:ascii="仿宋" w:eastAsia="仿宋" w:hAnsi="仿宋" w:cs="仿宋"/>
                <w:b/>
                <w:bCs/>
                <w:color w:val="484747"/>
                <w:kern w:val="0"/>
                <w:sz w:val="24"/>
                <w:szCs w:val="24"/>
              </w:rPr>
            </w:pPr>
            <w:r w:rsidRPr="0021105A">
              <w:rPr>
                <w:rFonts w:ascii="仿宋" w:eastAsia="仿宋" w:hAnsi="仿宋" w:cs="仿宋" w:hint="eastAsia"/>
                <w:b/>
                <w:bCs/>
                <w:color w:val="484747"/>
                <w:kern w:val="0"/>
                <w:sz w:val="24"/>
                <w:szCs w:val="24"/>
              </w:rPr>
              <w:t>单位性质</w:t>
            </w:r>
          </w:p>
        </w:tc>
        <w:tc>
          <w:tcPr>
            <w:tcW w:w="2895" w:type="dxa"/>
            <w:vAlign w:val="center"/>
          </w:tcPr>
          <w:p w:rsidR="0014624F" w:rsidRPr="0021105A" w:rsidRDefault="0014624F" w:rsidP="00E67F28">
            <w:pPr>
              <w:widowControl/>
              <w:spacing w:line="500" w:lineRule="exact"/>
              <w:jc w:val="center"/>
              <w:rPr>
                <w:rFonts w:ascii="仿宋" w:eastAsia="仿宋" w:hAnsi="仿宋" w:cs="仿宋"/>
                <w:b/>
                <w:bCs/>
                <w:color w:val="484747"/>
                <w:kern w:val="0"/>
                <w:sz w:val="24"/>
                <w:szCs w:val="24"/>
              </w:rPr>
            </w:pPr>
            <w:r w:rsidRPr="0021105A">
              <w:rPr>
                <w:rFonts w:ascii="仿宋" w:eastAsia="仿宋" w:hAnsi="仿宋" w:cs="仿宋" w:hint="eastAsia"/>
                <w:b/>
                <w:bCs/>
                <w:color w:val="484747"/>
                <w:kern w:val="0"/>
                <w:sz w:val="24"/>
                <w:szCs w:val="24"/>
              </w:rPr>
              <w:t>单位规格</w:t>
            </w:r>
          </w:p>
        </w:tc>
        <w:tc>
          <w:tcPr>
            <w:tcW w:w="4635" w:type="dxa"/>
            <w:vAlign w:val="center"/>
          </w:tcPr>
          <w:p w:rsidR="0014624F" w:rsidRPr="0021105A" w:rsidRDefault="0014624F" w:rsidP="00E67F28">
            <w:pPr>
              <w:widowControl/>
              <w:spacing w:line="500" w:lineRule="exact"/>
              <w:jc w:val="center"/>
              <w:rPr>
                <w:rFonts w:ascii="仿宋" w:eastAsia="仿宋" w:hAnsi="仿宋" w:cs="仿宋"/>
                <w:b/>
                <w:bCs/>
                <w:color w:val="484747"/>
                <w:kern w:val="0"/>
                <w:sz w:val="24"/>
                <w:szCs w:val="24"/>
              </w:rPr>
            </w:pPr>
            <w:r w:rsidRPr="0021105A">
              <w:rPr>
                <w:rFonts w:ascii="仿宋" w:eastAsia="仿宋" w:hAnsi="仿宋" w:cs="仿宋" w:hint="eastAsia"/>
                <w:b/>
                <w:bCs/>
                <w:color w:val="484747"/>
                <w:kern w:val="0"/>
                <w:sz w:val="24"/>
                <w:szCs w:val="24"/>
              </w:rPr>
              <w:t>经费保障形式</w:t>
            </w:r>
          </w:p>
        </w:tc>
      </w:tr>
      <w:tr w:rsidR="0014624F" w:rsidRPr="0021105A" w:rsidTr="00E67F28">
        <w:trPr>
          <w:trHeight w:val="450"/>
        </w:trPr>
        <w:tc>
          <w:tcPr>
            <w:tcW w:w="4635" w:type="dxa"/>
            <w:vAlign w:val="center"/>
          </w:tcPr>
          <w:p w:rsidR="0014624F" w:rsidRPr="0021105A" w:rsidRDefault="00397C58" w:rsidP="00E67F28">
            <w:pPr>
              <w:widowControl/>
              <w:spacing w:line="500" w:lineRule="exact"/>
              <w:jc w:val="center"/>
              <w:rPr>
                <w:rFonts w:ascii="仿宋" w:eastAsia="仿宋" w:hAnsi="仿宋" w:cs="仿宋"/>
                <w:color w:val="484747"/>
                <w:kern w:val="0"/>
                <w:sz w:val="24"/>
                <w:szCs w:val="24"/>
              </w:rPr>
            </w:pPr>
            <w:r>
              <w:rPr>
                <w:rFonts w:ascii="仿宋" w:eastAsia="仿宋" w:hAnsi="仿宋" w:cs="仿宋" w:hint="eastAsia"/>
                <w:sz w:val="24"/>
                <w:szCs w:val="24"/>
              </w:rPr>
              <w:t>河北文安经济开发区新桥环保科技产业园</w:t>
            </w:r>
          </w:p>
        </w:tc>
        <w:tc>
          <w:tcPr>
            <w:tcW w:w="1920" w:type="dxa"/>
            <w:vAlign w:val="center"/>
          </w:tcPr>
          <w:p w:rsidR="0014624F" w:rsidRPr="0021105A" w:rsidRDefault="00397C58" w:rsidP="00E67F28">
            <w:pPr>
              <w:widowControl/>
              <w:spacing w:line="500" w:lineRule="exact"/>
              <w:jc w:val="center"/>
              <w:rPr>
                <w:rFonts w:ascii="仿宋" w:eastAsia="仿宋" w:hAnsi="仿宋" w:cs="仿宋"/>
                <w:color w:val="484747"/>
                <w:kern w:val="0"/>
                <w:sz w:val="24"/>
                <w:szCs w:val="24"/>
              </w:rPr>
            </w:pPr>
            <w:r>
              <w:rPr>
                <w:rFonts w:ascii="仿宋" w:eastAsia="仿宋" w:hAnsi="仿宋" w:cs="仿宋" w:hint="eastAsia"/>
                <w:color w:val="484747"/>
                <w:kern w:val="0"/>
                <w:sz w:val="24"/>
                <w:szCs w:val="24"/>
              </w:rPr>
              <w:t>行政</w:t>
            </w:r>
          </w:p>
        </w:tc>
        <w:tc>
          <w:tcPr>
            <w:tcW w:w="2895" w:type="dxa"/>
            <w:vAlign w:val="center"/>
          </w:tcPr>
          <w:p w:rsidR="0014624F" w:rsidRPr="0021105A" w:rsidRDefault="00397C58" w:rsidP="00E67F28">
            <w:pPr>
              <w:widowControl/>
              <w:spacing w:line="500" w:lineRule="exact"/>
              <w:jc w:val="center"/>
              <w:rPr>
                <w:rFonts w:ascii="仿宋" w:eastAsia="仿宋" w:hAnsi="仿宋" w:cs="仿宋"/>
                <w:color w:val="484747"/>
                <w:kern w:val="0"/>
                <w:sz w:val="24"/>
                <w:szCs w:val="24"/>
              </w:rPr>
            </w:pPr>
            <w:r>
              <w:rPr>
                <w:rFonts w:ascii="仿宋" w:eastAsia="仿宋" w:hAnsi="仿宋" w:cs="仿宋" w:hint="eastAsia"/>
                <w:color w:val="484747"/>
                <w:kern w:val="0"/>
                <w:sz w:val="24"/>
                <w:szCs w:val="24"/>
              </w:rPr>
              <w:t>正科级</w:t>
            </w:r>
          </w:p>
        </w:tc>
        <w:tc>
          <w:tcPr>
            <w:tcW w:w="4635" w:type="dxa"/>
            <w:vAlign w:val="center"/>
          </w:tcPr>
          <w:p w:rsidR="0014624F" w:rsidRPr="0021105A" w:rsidRDefault="00E4388C" w:rsidP="00E67F28">
            <w:pPr>
              <w:widowControl/>
              <w:spacing w:line="500" w:lineRule="exact"/>
              <w:jc w:val="center"/>
              <w:rPr>
                <w:rFonts w:ascii="仿宋" w:eastAsia="仿宋" w:hAnsi="仿宋" w:cs="仿宋"/>
                <w:color w:val="484747"/>
                <w:kern w:val="0"/>
                <w:sz w:val="24"/>
                <w:szCs w:val="24"/>
              </w:rPr>
            </w:pPr>
            <w:r>
              <w:rPr>
                <w:rFonts w:ascii="仿宋" w:eastAsia="仿宋" w:hAnsi="仿宋" w:cs="仿宋" w:hint="eastAsia"/>
                <w:color w:val="484747"/>
                <w:kern w:val="0"/>
                <w:sz w:val="24"/>
                <w:szCs w:val="24"/>
              </w:rPr>
              <w:t>财政拨款</w:t>
            </w:r>
          </w:p>
        </w:tc>
      </w:tr>
    </w:tbl>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二、部门预算安排的总体情况</w:t>
      </w:r>
    </w:p>
    <w:p w:rsidR="00D347CC" w:rsidRDefault="00B80935">
      <w:pPr>
        <w:spacing w:line="584" w:lineRule="exact"/>
        <w:ind w:firstLineChars="200" w:firstLine="640"/>
        <w:rPr>
          <w:rFonts w:ascii="Times New Roman" w:eastAsia="仿宋_GB2312" w:hAnsi="Times New Roman" w:cs="Times New Roman"/>
          <w:sz w:val="32"/>
          <w:szCs w:val="32"/>
        </w:rPr>
      </w:pPr>
      <w:r w:rsidRPr="00185C36">
        <w:rPr>
          <w:rFonts w:ascii="仿宋" w:eastAsia="仿宋" w:hAnsi="仿宋" w:cs="Times New Roman"/>
          <w:sz w:val="32"/>
          <w:szCs w:val="32"/>
        </w:rPr>
        <w:t>按照预算管理有关规定，目前我市部门预算的编制实行综合预算制度，即全部收入和支出都反映在预算中。</w:t>
      </w:r>
      <w:r w:rsidR="00AB49BC">
        <w:rPr>
          <w:rFonts w:ascii="仿宋" w:eastAsia="仿宋" w:hAnsi="仿宋" w:cs="仿宋_GB2312" w:hint="eastAsia"/>
          <w:color w:val="333333"/>
          <w:kern w:val="0"/>
          <w:sz w:val="32"/>
          <w:szCs w:val="32"/>
          <w:shd w:val="clear" w:color="auto" w:fill="FFFFFF"/>
        </w:rPr>
        <w:t>河北文安经济开发区新桥环保科技产业园</w:t>
      </w:r>
      <w:r w:rsidR="0014624F" w:rsidRPr="00185C36">
        <w:rPr>
          <w:rFonts w:ascii="仿宋" w:eastAsia="仿宋" w:hAnsi="仿宋"/>
          <w:sz w:val="32"/>
          <w:szCs w:val="32"/>
        </w:rPr>
        <w:t>的收支包含在部门预算中。</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、收入说明</w:t>
      </w:r>
    </w:p>
    <w:p w:rsidR="00D347CC" w:rsidRPr="00185C36" w:rsidRDefault="00B80935">
      <w:pPr>
        <w:spacing w:line="584" w:lineRule="exact"/>
        <w:ind w:firstLine="640"/>
        <w:rPr>
          <w:rFonts w:ascii="仿宋" w:eastAsia="仿宋" w:hAnsi="仿宋" w:cs="Times New Roman"/>
          <w:sz w:val="32"/>
          <w:szCs w:val="32"/>
        </w:rPr>
      </w:pPr>
      <w:r w:rsidRPr="00185C36">
        <w:rPr>
          <w:rFonts w:ascii="仿宋" w:eastAsia="仿宋" w:hAnsi="仿宋" w:cs="Times New Roman"/>
          <w:sz w:val="32"/>
          <w:szCs w:val="32"/>
        </w:rPr>
        <w:t>反映本</w:t>
      </w:r>
      <w:r w:rsidR="00397C58">
        <w:rPr>
          <w:rFonts w:ascii="仿宋" w:eastAsia="仿宋" w:hAnsi="仿宋" w:cs="Times New Roman" w:hint="eastAsia"/>
          <w:sz w:val="32"/>
          <w:szCs w:val="32"/>
        </w:rPr>
        <w:t>单位</w:t>
      </w:r>
      <w:r w:rsidRPr="00185C36">
        <w:rPr>
          <w:rFonts w:ascii="仿宋" w:eastAsia="仿宋" w:hAnsi="仿宋" w:cs="Times New Roman"/>
          <w:sz w:val="32"/>
          <w:szCs w:val="32"/>
        </w:rPr>
        <w:t>当年全部收入。20</w:t>
      </w:r>
      <w:r w:rsidRPr="00185C36">
        <w:rPr>
          <w:rFonts w:ascii="仿宋" w:eastAsia="仿宋" w:hAnsi="仿宋" w:cs="Times New Roman" w:hint="eastAsia"/>
          <w:sz w:val="32"/>
          <w:szCs w:val="32"/>
        </w:rPr>
        <w:t>21</w:t>
      </w:r>
      <w:r w:rsidRPr="00185C36">
        <w:rPr>
          <w:rFonts w:ascii="仿宋" w:eastAsia="仿宋" w:hAnsi="仿宋" w:cs="Times New Roman"/>
          <w:sz w:val="32"/>
          <w:szCs w:val="32"/>
        </w:rPr>
        <w:t>年预算收入</w:t>
      </w:r>
      <w:r w:rsidR="006A4B17">
        <w:rPr>
          <w:rFonts w:ascii="仿宋" w:eastAsia="仿宋" w:hAnsi="仿宋" w:cs="Times New Roman" w:hint="eastAsia"/>
          <w:sz w:val="32"/>
          <w:szCs w:val="32"/>
        </w:rPr>
        <w:t>1981.53</w:t>
      </w:r>
      <w:r w:rsidRPr="00185C36">
        <w:rPr>
          <w:rFonts w:ascii="仿宋" w:eastAsia="仿宋" w:hAnsi="仿宋" w:cs="Times New Roman"/>
          <w:sz w:val="32"/>
          <w:szCs w:val="32"/>
        </w:rPr>
        <w:t>万元，其中：一般公共预算收入</w:t>
      </w:r>
      <w:r w:rsidR="006A4B17">
        <w:rPr>
          <w:rFonts w:ascii="仿宋" w:eastAsia="仿宋" w:hAnsi="仿宋" w:cs="Times New Roman" w:hint="eastAsia"/>
          <w:sz w:val="32"/>
          <w:szCs w:val="32"/>
        </w:rPr>
        <w:t>326.78</w:t>
      </w:r>
      <w:r w:rsidRPr="00185C36">
        <w:rPr>
          <w:rFonts w:ascii="仿宋" w:eastAsia="仿宋" w:hAnsi="仿宋" w:cs="Times New Roman"/>
          <w:sz w:val="32"/>
          <w:szCs w:val="32"/>
        </w:rPr>
        <w:t>万元，基金预算收入</w:t>
      </w:r>
      <w:r w:rsidR="006A4B17">
        <w:rPr>
          <w:rFonts w:ascii="仿宋" w:eastAsia="仿宋" w:hAnsi="仿宋" w:cs="Times New Roman" w:hint="eastAsia"/>
          <w:sz w:val="32"/>
          <w:szCs w:val="32"/>
        </w:rPr>
        <w:t>1654.75</w:t>
      </w:r>
      <w:r w:rsidRPr="00185C36">
        <w:rPr>
          <w:rFonts w:ascii="仿宋" w:eastAsia="仿宋" w:hAnsi="仿宋" w:cs="Times New Roman"/>
          <w:sz w:val="32"/>
          <w:szCs w:val="32"/>
        </w:rPr>
        <w:t>万元，财政专户核拨收入</w:t>
      </w:r>
      <w:r w:rsidR="007F74B2" w:rsidRPr="00185C36">
        <w:rPr>
          <w:rFonts w:ascii="仿宋" w:eastAsia="仿宋" w:hAnsi="仿宋" w:cs="Times New Roman" w:hint="eastAsia"/>
          <w:sz w:val="32"/>
          <w:szCs w:val="32"/>
        </w:rPr>
        <w:t>0</w:t>
      </w:r>
      <w:r w:rsidRPr="00185C36">
        <w:rPr>
          <w:rFonts w:ascii="仿宋" w:eastAsia="仿宋" w:hAnsi="仿宋" w:cs="Times New Roman"/>
          <w:sz w:val="32"/>
          <w:szCs w:val="32"/>
        </w:rPr>
        <w:t>万元，其他来源收入</w:t>
      </w:r>
      <w:r w:rsidR="007F74B2" w:rsidRPr="00185C36">
        <w:rPr>
          <w:rFonts w:ascii="仿宋" w:eastAsia="仿宋" w:hAnsi="仿宋" w:cs="Times New Roman" w:hint="eastAsia"/>
          <w:sz w:val="32"/>
          <w:szCs w:val="32"/>
        </w:rPr>
        <w:t>0</w:t>
      </w:r>
      <w:r w:rsidRPr="00185C36">
        <w:rPr>
          <w:rFonts w:ascii="仿宋" w:eastAsia="仿宋" w:hAnsi="仿宋" w:cs="Times New Roman"/>
          <w:sz w:val="32"/>
          <w:szCs w:val="32"/>
        </w:rPr>
        <w:t>万元</w:t>
      </w:r>
      <w:r w:rsidRPr="00185C36">
        <w:rPr>
          <w:rFonts w:ascii="仿宋" w:eastAsia="仿宋" w:hAnsi="仿宋" w:cs="Times New Roman" w:hint="eastAsia"/>
          <w:sz w:val="32"/>
          <w:szCs w:val="32"/>
        </w:rPr>
        <w:t>，</w:t>
      </w:r>
      <w:r w:rsidRPr="00185C36">
        <w:rPr>
          <w:rFonts w:ascii="仿宋" w:eastAsia="仿宋" w:hAnsi="仿宋" w:cs="Times New Roman"/>
          <w:sz w:val="32"/>
          <w:szCs w:val="32"/>
        </w:rPr>
        <w:t>上年结转</w:t>
      </w:r>
      <w:r w:rsidR="007F74B2" w:rsidRPr="00185C36">
        <w:rPr>
          <w:rFonts w:ascii="仿宋" w:eastAsia="仿宋" w:hAnsi="仿宋" w:cs="Times New Roman" w:hint="eastAsia"/>
          <w:sz w:val="32"/>
          <w:szCs w:val="32"/>
        </w:rPr>
        <w:t>0</w:t>
      </w:r>
      <w:r w:rsidRPr="00185C36">
        <w:rPr>
          <w:rFonts w:ascii="仿宋" w:eastAsia="仿宋" w:hAnsi="仿宋" w:cs="Times New Roman" w:hint="eastAsia"/>
          <w:sz w:val="32"/>
          <w:szCs w:val="32"/>
        </w:rPr>
        <w:t>万元</w:t>
      </w:r>
      <w:r w:rsidRPr="00185C36">
        <w:rPr>
          <w:rFonts w:ascii="仿宋" w:eastAsia="仿宋" w:hAnsi="仿宋" w:cs="Times New Roman"/>
          <w:sz w:val="32"/>
          <w:szCs w:val="32"/>
        </w:rPr>
        <w:t>。</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、支出说明</w:t>
      </w:r>
    </w:p>
    <w:p w:rsidR="002660A9" w:rsidRPr="00185C36" w:rsidRDefault="00B80935">
      <w:pPr>
        <w:spacing w:line="584" w:lineRule="exact"/>
        <w:ind w:firstLine="640"/>
        <w:rPr>
          <w:rFonts w:ascii="仿宋" w:eastAsia="仿宋" w:hAnsi="仿宋"/>
          <w:sz w:val="32"/>
          <w:szCs w:val="32"/>
        </w:rPr>
      </w:pPr>
      <w:r w:rsidRPr="00185C36">
        <w:rPr>
          <w:rFonts w:ascii="仿宋" w:eastAsia="仿宋" w:hAnsi="仿宋" w:cs="Times New Roman"/>
          <w:sz w:val="32"/>
          <w:szCs w:val="32"/>
        </w:rPr>
        <w:t>收支预算总表支出栏、基本支出表、项目支出表按经济分类和支出功能分类科目编制，反映</w:t>
      </w:r>
      <w:r w:rsidR="006A4B17">
        <w:rPr>
          <w:rFonts w:ascii="仿宋" w:eastAsia="仿宋" w:hAnsi="仿宋" w:cs="Times New Roman" w:hint="eastAsia"/>
          <w:sz w:val="32"/>
          <w:szCs w:val="32"/>
        </w:rPr>
        <w:t>河北文安经济开发区新桥环保科技产业园</w:t>
      </w:r>
      <w:r w:rsidRPr="00185C36">
        <w:rPr>
          <w:rFonts w:ascii="仿宋" w:eastAsia="仿宋" w:hAnsi="仿宋" w:cs="Times New Roman"/>
          <w:sz w:val="32"/>
          <w:szCs w:val="32"/>
        </w:rPr>
        <w:t>年度部门预算中支出预算的总体情况。20</w:t>
      </w:r>
      <w:r w:rsidRPr="00185C36">
        <w:rPr>
          <w:rFonts w:ascii="仿宋" w:eastAsia="仿宋" w:hAnsi="仿宋" w:cs="Times New Roman" w:hint="eastAsia"/>
          <w:sz w:val="32"/>
          <w:szCs w:val="32"/>
        </w:rPr>
        <w:t>21</w:t>
      </w:r>
      <w:r w:rsidRPr="00185C36">
        <w:rPr>
          <w:rFonts w:ascii="仿宋" w:eastAsia="仿宋" w:hAnsi="仿宋" w:cs="Times New Roman"/>
          <w:sz w:val="32"/>
          <w:szCs w:val="32"/>
        </w:rPr>
        <w:t>年支出预算</w:t>
      </w:r>
      <w:r w:rsidR="006A4B17">
        <w:rPr>
          <w:rFonts w:ascii="仿宋" w:eastAsia="仿宋" w:hAnsi="仿宋" w:cs="Times New Roman" w:hint="eastAsia"/>
          <w:sz w:val="32"/>
          <w:szCs w:val="32"/>
        </w:rPr>
        <w:t>1981.53</w:t>
      </w:r>
      <w:r w:rsidRPr="00185C36">
        <w:rPr>
          <w:rFonts w:ascii="仿宋" w:eastAsia="仿宋" w:hAnsi="仿宋" w:cs="Times New Roman"/>
          <w:sz w:val="32"/>
          <w:szCs w:val="32"/>
        </w:rPr>
        <w:t>万元，其中基本支出</w:t>
      </w:r>
      <w:r w:rsidR="006A4B17">
        <w:rPr>
          <w:rFonts w:ascii="仿宋" w:eastAsia="仿宋" w:hAnsi="仿宋" w:cs="Times New Roman" w:hint="eastAsia"/>
          <w:sz w:val="32"/>
          <w:szCs w:val="32"/>
        </w:rPr>
        <w:t>141.65</w:t>
      </w:r>
      <w:r w:rsidRPr="00185C36">
        <w:rPr>
          <w:rFonts w:ascii="仿宋" w:eastAsia="仿宋" w:hAnsi="仿宋" w:cs="Times New Roman"/>
          <w:sz w:val="32"/>
          <w:szCs w:val="32"/>
        </w:rPr>
        <w:t>万元，包括人员类项目经费</w:t>
      </w:r>
      <w:r w:rsidR="006A4B17">
        <w:rPr>
          <w:rFonts w:ascii="仿宋" w:eastAsia="仿宋" w:hAnsi="仿宋" w:cs="Times New Roman" w:hint="eastAsia"/>
          <w:sz w:val="32"/>
          <w:szCs w:val="32"/>
        </w:rPr>
        <w:t>135.95</w:t>
      </w:r>
      <w:r w:rsidRPr="00185C36">
        <w:rPr>
          <w:rFonts w:ascii="仿宋" w:eastAsia="仿宋" w:hAnsi="仿宋" w:cs="Times New Roman"/>
          <w:sz w:val="32"/>
          <w:szCs w:val="32"/>
        </w:rPr>
        <w:t>万元和</w:t>
      </w:r>
      <w:r w:rsidR="006A4B17">
        <w:rPr>
          <w:rFonts w:ascii="仿宋" w:eastAsia="仿宋" w:hAnsi="仿宋" w:cs="Times New Roman" w:hint="eastAsia"/>
          <w:sz w:val="32"/>
          <w:szCs w:val="32"/>
        </w:rPr>
        <w:t>日常</w:t>
      </w:r>
      <w:r w:rsidRPr="00185C36">
        <w:rPr>
          <w:rFonts w:ascii="仿宋" w:eastAsia="仿宋" w:hAnsi="仿宋" w:cs="Times New Roman"/>
          <w:sz w:val="32"/>
          <w:szCs w:val="32"/>
        </w:rPr>
        <w:t>公用项目经费</w:t>
      </w:r>
      <w:r w:rsidR="006A4B17">
        <w:rPr>
          <w:rFonts w:ascii="仿宋" w:eastAsia="仿宋" w:hAnsi="仿宋" w:cs="Times New Roman" w:hint="eastAsia"/>
          <w:sz w:val="32"/>
          <w:szCs w:val="32"/>
        </w:rPr>
        <w:t>5.7</w:t>
      </w:r>
      <w:r w:rsidRPr="00185C36">
        <w:rPr>
          <w:rFonts w:ascii="仿宋" w:eastAsia="仿宋" w:hAnsi="仿宋" w:cs="Times New Roman"/>
          <w:sz w:val="32"/>
          <w:szCs w:val="32"/>
        </w:rPr>
        <w:t>万元；运转类其他及特定目标类项目支出</w:t>
      </w:r>
      <w:r w:rsidR="006A4B17">
        <w:rPr>
          <w:rFonts w:ascii="仿宋" w:eastAsia="仿宋" w:hAnsi="仿宋" w:cs="Times New Roman" w:hint="eastAsia"/>
          <w:sz w:val="32"/>
          <w:szCs w:val="32"/>
        </w:rPr>
        <w:t>1839.88</w:t>
      </w:r>
      <w:r w:rsidRPr="00185C36">
        <w:rPr>
          <w:rFonts w:ascii="仿宋" w:eastAsia="仿宋" w:hAnsi="仿宋" w:cs="Times New Roman"/>
          <w:sz w:val="32"/>
          <w:szCs w:val="32"/>
        </w:rPr>
        <w:t>万元，</w:t>
      </w:r>
      <w:r w:rsidR="002660A9" w:rsidRPr="00185C36">
        <w:rPr>
          <w:rFonts w:ascii="仿宋" w:eastAsia="仿宋" w:hAnsi="仿宋"/>
          <w:sz w:val="32"/>
          <w:szCs w:val="32"/>
        </w:rPr>
        <w:t>主要为</w:t>
      </w:r>
      <w:r w:rsidR="009D6C5D">
        <w:rPr>
          <w:rFonts w:ascii="仿宋" w:eastAsia="仿宋" w:hAnsi="仿宋" w:hint="eastAsia"/>
          <w:sz w:val="32"/>
          <w:szCs w:val="32"/>
        </w:rPr>
        <w:t>基金</w:t>
      </w:r>
      <w:r w:rsidR="002660A9" w:rsidRPr="00185C36">
        <w:rPr>
          <w:rFonts w:ascii="仿宋" w:eastAsia="仿宋" w:hAnsi="仿宋"/>
          <w:sz w:val="32"/>
          <w:szCs w:val="32"/>
        </w:rPr>
        <w:t>、</w:t>
      </w:r>
      <w:r w:rsidR="002660A9" w:rsidRPr="00185C36">
        <w:rPr>
          <w:rFonts w:ascii="仿宋" w:eastAsia="仿宋" w:hAnsi="仿宋" w:hint="eastAsia"/>
          <w:sz w:val="32"/>
          <w:szCs w:val="32"/>
        </w:rPr>
        <w:t>专项经费</w:t>
      </w:r>
      <w:r w:rsidR="002660A9" w:rsidRPr="00185C36">
        <w:rPr>
          <w:rFonts w:ascii="仿宋" w:eastAsia="仿宋" w:hAnsi="仿宋"/>
          <w:sz w:val="32"/>
          <w:szCs w:val="32"/>
        </w:rPr>
        <w:t>、</w:t>
      </w:r>
      <w:r w:rsidR="002660A9" w:rsidRPr="00185C36">
        <w:rPr>
          <w:rFonts w:ascii="仿宋" w:eastAsia="仿宋" w:hAnsi="仿宋" w:hint="eastAsia"/>
          <w:sz w:val="32"/>
          <w:szCs w:val="32"/>
        </w:rPr>
        <w:t>公用经费</w:t>
      </w:r>
      <w:r w:rsidR="002660A9" w:rsidRPr="00185C36">
        <w:rPr>
          <w:rFonts w:ascii="仿宋" w:eastAsia="仿宋" w:hAnsi="仿宋"/>
          <w:sz w:val="32"/>
          <w:szCs w:val="32"/>
        </w:rPr>
        <w:t>等。</w:t>
      </w:r>
    </w:p>
    <w:p w:rsidR="00D347CC" w:rsidRDefault="00B80935">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、比上年增减情况</w:t>
      </w:r>
    </w:p>
    <w:p w:rsidR="00D347CC" w:rsidRPr="00185C36" w:rsidRDefault="00B80935">
      <w:pPr>
        <w:spacing w:line="584" w:lineRule="exact"/>
        <w:ind w:firstLine="640"/>
        <w:rPr>
          <w:rFonts w:ascii="仿宋" w:eastAsia="仿宋" w:hAnsi="仿宋" w:cs="Times New Roman"/>
          <w:sz w:val="32"/>
          <w:szCs w:val="32"/>
        </w:rPr>
      </w:pPr>
      <w:r w:rsidRPr="00185C36">
        <w:rPr>
          <w:rFonts w:ascii="仿宋" w:eastAsia="仿宋" w:hAnsi="仿宋" w:cs="Times New Roman"/>
          <w:sz w:val="32"/>
          <w:szCs w:val="32"/>
        </w:rPr>
        <w:lastRenderedPageBreak/>
        <w:t>20</w:t>
      </w:r>
      <w:r w:rsidRPr="00185C36">
        <w:rPr>
          <w:rFonts w:ascii="仿宋" w:eastAsia="仿宋" w:hAnsi="仿宋" w:cs="Times New Roman" w:hint="eastAsia"/>
          <w:sz w:val="32"/>
          <w:szCs w:val="32"/>
        </w:rPr>
        <w:t>21</w:t>
      </w:r>
      <w:r w:rsidRPr="00185C36">
        <w:rPr>
          <w:rFonts w:ascii="仿宋" w:eastAsia="仿宋" w:hAnsi="仿宋" w:cs="Times New Roman"/>
          <w:sz w:val="32"/>
          <w:szCs w:val="32"/>
        </w:rPr>
        <w:t>年预算收支安排</w:t>
      </w:r>
      <w:r w:rsidR="009D6C5D">
        <w:rPr>
          <w:rFonts w:ascii="仿宋" w:eastAsia="仿宋" w:hAnsi="仿宋" w:cs="Times New Roman" w:hint="eastAsia"/>
          <w:sz w:val="32"/>
          <w:szCs w:val="32"/>
        </w:rPr>
        <w:t>1981.53</w:t>
      </w:r>
      <w:r w:rsidRPr="00185C36">
        <w:rPr>
          <w:rFonts w:ascii="仿宋" w:eastAsia="仿宋" w:hAnsi="仿宋" w:cs="Times New Roman"/>
          <w:sz w:val="32"/>
          <w:szCs w:val="32"/>
        </w:rPr>
        <w:t>万元，较20</w:t>
      </w:r>
      <w:r w:rsidRPr="00185C36">
        <w:rPr>
          <w:rFonts w:ascii="仿宋" w:eastAsia="仿宋" w:hAnsi="仿宋" w:cs="Times New Roman" w:hint="eastAsia"/>
          <w:sz w:val="32"/>
          <w:szCs w:val="32"/>
        </w:rPr>
        <w:t>20</w:t>
      </w:r>
      <w:r w:rsidRPr="00185C36">
        <w:rPr>
          <w:rFonts w:ascii="仿宋" w:eastAsia="仿宋" w:hAnsi="仿宋" w:cs="Times New Roman"/>
          <w:sz w:val="32"/>
          <w:szCs w:val="32"/>
        </w:rPr>
        <w:t>年预算增加</w:t>
      </w:r>
      <w:r w:rsidR="009D6C5D">
        <w:rPr>
          <w:rFonts w:ascii="仿宋" w:eastAsia="仿宋" w:hAnsi="仿宋" w:cs="Times New Roman" w:hint="eastAsia"/>
          <w:sz w:val="32"/>
          <w:szCs w:val="32"/>
        </w:rPr>
        <w:t>843.32</w:t>
      </w:r>
      <w:r w:rsidRPr="00185C36">
        <w:rPr>
          <w:rFonts w:ascii="仿宋" w:eastAsia="仿宋" w:hAnsi="仿宋" w:cs="Times New Roman"/>
          <w:sz w:val="32"/>
          <w:szCs w:val="32"/>
        </w:rPr>
        <w:t>万元，其中：基本支出</w:t>
      </w:r>
      <w:r w:rsidR="009D6C5D">
        <w:rPr>
          <w:rFonts w:ascii="仿宋" w:eastAsia="仿宋" w:hAnsi="仿宋" w:cs="Times New Roman" w:hint="eastAsia"/>
          <w:sz w:val="32"/>
          <w:szCs w:val="32"/>
        </w:rPr>
        <w:t>减少35.89</w:t>
      </w:r>
      <w:r w:rsidRPr="00185C36">
        <w:rPr>
          <w:rFonts w:ascii="仿宋" w:eastAsia="仿宋" w:hAnsi="仿宋" w:cs="Times New Roman"/>
          <w:sz w:val="32"/>
          <w:szCs w:val="32"/>
        </w:rPr>
        <w:t>万元，主要为</w:t>
      </w:r>
      <w:r w:rsidR="00A17A3B" w:rsidRPr="00185C36">
        <w:rPr>
          <w:rFonts w:ascii="仿宋" w:eastAsia="仿宋" w:hAnsi="仿宋" w:cs="Times New Roman" w:hint="eastAsia"/>
          <w:sz w:val="32"/>
          <w:szCs w:val="32"/>
        </w:rPr>
        <w:t>人员经费</w:t>
      </w:r>
      <w:r w:rsidRPr="00185C36">
        <w:rPr>
          <w:rFonts w:ascii="仿宋" w:eastAsia="仿宋" w:hAnsi="仿宋" w:cs="Times New Roman"/>
          <w:sz w:val="32"/>
          <w:szCs w:val="32"/>
        </w:rPr>
        <w:t>支出；项目支出</w:t>
      </w:r>
      <w:r w:rsidR="009B3219">
        <w:rPr>
          <w:rFonts w:ascii="仿宋" w:eastAsia="仿宋" w:hAnsi="仿宋" w:cs="Times New Roman" w:hint="eastAsia"/>
          <w:sz w:val="32"/>
          <w:szCs w:val="32"/>
        </w:rPr>
        <w:t>增加</w:t>
      </w:r>
      <w:r w:rsidR="009D6C5D">
        <w:rPr>
          <w:rFonts w:ascii="仿宋" w:eastAsia="仿宋" w:hAnsi="仿宋" w:cs="Times New Roman" w:hint="eastAsia"/>
          <w:sz w:val="32"/>
          <w:szCs w:val="32"/>
        </w:rPr>
        <w:t>859.36</w:t>
      </w:r>
      <w:r w:rsidRPr="00185C36">
        <w:rPr>
          <w:rFonts w:ascii="仿宋" w:eastAsia="仿宋" w:hAnsi="仿宋" w:cs="Times New Roman"/>
          <w:sz w:val="32"/>
          <w:szCs w:val="32"/>
        </w:rPr>
        <w:t>万元，</w:t>
      </w:r>
      <w:r w:rsidR="009D6C5D">
        <w:rPr>
          <w:rFonts w:ascii="仿宋" w:eastAsia="仿宋" w:hAnsi="仿宋" w:cs="Times New Roman" w:hint="eastAsia"/>
          <w:sz w:val="32"/>
          <w:szCs w:val="32"/>
        </w:rPr>
        <w:t>基本支出减少主要为人员调出</w:t>
      </w:r>
      <w:r w:rsidR="009B3219">
        <w:rPr>
          <w:rFonts w:ascii="仿宋" w:eastAsia="仿宋" w:hAnsi="仿宋" w:cs="Times New Roman" w:hint="eastAsia"/>
          <w:sz w:val="32"/>
          <w:szCs w:val="32"/>
        </w:rPr>
        <w:t>、</w:t>
      </w:r>
      <w:bookmarkStart w:id="0" w:name="_GoBack"/>
      <w:bookmarkEnd w:id="0"/>
      <w:r w:rsidR="009D6C5D">
        <w:rPr>
          <w:rFonts w:ascii="仿宋" w:eastAsia="仿宋" w:hAnsi="仿宋" w:cs="Times New Roman" w:hint="eastAsia"/>
          <w:sz w:val="32"/>
          <w:szCs w:val="32"/>
        </w:rPr>
        <w:t>项目支出增加主要为基础设施建设增加</w:t>
      </w:r>
      <w:r w:rsidRPr="00185C36">
        <w:rPr>
          <w:rFonts w:ascii="仿宋" w:eastAsia="仿宋" w:hAnsi="仿宋" w:cs="Times New Roman"/>
          <w:sz w:val="32"/>
          <w:szCs w:val="32"/>
        </w:rPr>
        <w:t>。</w:t>
      </w:r>
    </w:p>
    <w:p w:rsidR="00D347CC" w:rsidRDefault="00B8093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三、机关运行经费安排情况</w:t>
      </w:r>
    </w:p>
    <w:p w:rsidR="00D347CC" w:rsidRPr="00185C36" w:rsidRDefault="00B80935" w:rsidP="00A17A3B">
      <w:pPr>
        <w:pStyle w:val="a8"/>
        <w:shd w:val="clear" w:color="auto" w:fill="FFFFFF"/>
        <w:spacing w:before="0" w:beforeAutospacing="0" w:after="0" w:afterAutospacing="0" w:line="500" w:lineRule="exact"/>
        <w:ind w:firstLine="645"/>
        <w:rPr>
          <w:rFonts w:ascii="仿宋" w:eastAsia="仿宋" w:hAnsi="仿宋" w:cs="仿宋_GB2312"/>
          <w:color w:val="333333"/>
          <w:sz w:val="32"/>
          <w:szCs w:val="32"/>
          <w:shd w:val="clear" w:color="auto" w:fill="FFFFFF"/>
        </w:rPr>
      </w:pPr>
      <w:r w:rsidRPr="00185C36">
        <w:rPr>
          <w:rFonts w:ascii="仿宋" w:eastAsia="仿宋" w:hAnsi="仿宋"/>
          <w:sz w:val="32"/>
          <w:szCs w:val="32"/>
        </w:rPr>
        <w:t>20</w:t>
      </w:r>
      <w:r w:rsidRPr="00185C36">
        <w:rPr>
          <w:rFonts w:ascii="仿宋" w:eastAsia="仿宋" w:hAnsi="仿宋" w:hint="eastAsia"/>
          <w:sz w:val="32"/>
          <w:szCs w:val="32"/>
        </w:rPr>
        <w:t>21</w:t>
      </w:r>
      <w:r w:rsidRPr="00185C36">
        <w:rPr>
          <w:rFonts w:ascii="仿宋" w:eastAsia="仿宋" w:hAnsi="仿宋"/>
          <w:sz w:val="32"/>
          <w:szCs w:val="32"/>
        </w:rPr>
        <w:t>年，我</w:t>
      </w:r>
      <w:r w:rsidR="00C0392A">
        <w:rPr>
          <w:rFonts w:ascii="仿宋" w:eastAsia="仿宋" w:hAnsi="仿宋" w:hint="eastAsia"/>
          <w:sz w:val="32"/>
          <w:szCs w:val="32"/>
        </w:rPr>
        <w:t>单位无</w:t>
      </w:r>
      <w:r w:rsidRPr="00185C36">
        <w:rPr>
          <w:rFonts w:ascii="仿宋" w:eastAsia="仿宋" w:hAnsi="仿宋"/>
          <w:sz w:val="32"/>
          <w:szCs w:val="32"/>
        </w:rPr>
        <w:t>机关运行经费安排</w:t>
      </w:r>
      <w:r w:rsidR="00C0392A">
        <w:rPr>
          <w:rFonts w:ascii="仿宋" w:eastAsia="仿宋" w:hAnsi="仿宋" w:hint="eastAsia"/>
          <w:sz w:val="32"/>
          <w:szCs w:val="32"/>
        </w:rPr>
        <w:t>。</w:t>
      </w:r>
    </w:p>
    <w:p w:rsidR="00D347CC" w:rsidRDefault="00B80935" w:rsidP="004A54AA">
      <w:pPr>
        <w:autoSpaceDE w:val="0"/>
        <w:autoSpaceDN w:val="0"/>
        <w:adjustRightInd w:val="0"/>
        <w:spacing w:line="584" w:lineRule="exact"/>
        <w:ind w:firstLineChars="196" w:firstLine="630"/>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t>四、财政拨款</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经费预算情况及增减变化原因</w:t>
      </w:r>
    </w:p>
    <w:p w:rsidR="00D347CC" w:rsidRPr="00185C36" w:rsidRDefault="00B80935">
      <w:pPr>
        <w:autoSpaceDE w:val="0"/>
        <w:autoSpaceDN w:val="0"/>
        <w:adjustRightInd w:val="0"/>
        <w:spacing w:line="584" w:lineRule="exact"/>
        <w:ind w:leftChars="94" w:left="197" w:firstLineChars="200" w:firstLine="640"/>
        <w:jc w:val="left"/>
        <w:rPr>
          <w:rFonts w:ascii="仿宋" w:eastAsia="仿宋" w:hAnsi="仿宋" w:cs="Times New Roman"/>
          <w:sz w:val="32"/>
          <w:szCs w:val="32"/>
        </w:rPr>
      </w:pPr>
      <w:r w:rsidRPr="00185C36">
        <w:rPr>
          <w:rFonts w:ascii="仿宋" w:eastAsia="仿宋" w:hAnsi="仿宋" w:cs="Times New Roman"/>
          <w:sz w:val="32"/>
          <w:szCs w:val="32"/>
        </w:rPr>
        <w:t>20</w:t>
      </w:r>
      <w:r w:rsidRPr="00185C36">
        <w:rPr>
          <w:rFonts w:ascii="仿宋" w:eastAsia="仿宋" w:hAnsi="仿宋" w:cs="Times New Roman" w:hint="eastAsia"/>
          <w:sz w:val="32"/>
          <w:szCs w:val="32"/>
        </w:rPr>
        <w:t>21</w:t>
      </w:r>
      <w:r w:rsidRPr="00185C36">
        <w:rPr>
          <w:rFonts w:ascii="仿宋" w:eastAsia="仿宋" w:hAnsi="仿宋" w:cs="Times New Roman"/>
          <w:sz w:val="32"/>
          <w:szCs w:val="32"/>
        </w:rPr>
        <w:t>年，我</w:t>
      </w:r>
      <w:r w:rsidR="00C0392A">
        <w:rPr>
          <w:rFonts w:ascii="仿宋" w:eastAsia="仿宋" w:hAnsi="仿宋" w:cs="Times New Roman" w:hint="eastAsia"/>
          <w:sz w:val="32"/>
          <w:szCs w:val="32"/>
        </w:rPr>
        <w:t>单位</w:t>
      </w:r>
      <w:r w:rsidRPr="00185C36">
        <w:rPr>
          <w:rFonts w:ascii="仿宋" w:eastAsia="仿宋" w:hAnsi="仿宋" w:cs="Times New Roman"/>
          <w:sz w:val="32"/>
          <w:szCs w:val="32"/>
        </w:rPr>
        <w:t>财政拨款“三公”经费预算安排</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w:t>
      </w:r>
      <w:r w:rsidRPr="00185C36">
        <w:rPr>
          <w:rFonts w:ascii="仿宋" w:eastAsia="仿宋" w:hAnsi="仿宋" w:cs="Times New Roman" w:hint="eastAsia"/>
          <w:sz w:val="32"/>
          <w:szCs w:val="32"/>
        </w:rPr>
        <w:t>。</w:t>
      </w:r>
      <w:r w:rsidRPr="00185C36">
        <w:rPr>
          <w:rFonts w:ascii="仿宋" w:eastAsia="仿宋" w:hAnsi="仿宋" w:cs="Times New Roman"/>
          <w:sz w:val="32"/>
          <w:szCs w:val="32"/>
        </w:rPr>
        <w:t>其中</w:t>
      </w:r>
      <w:r w:rsidRPr="00185C36">
        <w:rPr>
          <w:rFonts w:ascii="仿宋" w:eastAsia="仿宋" w:hAnsi="仿宋" w:cs="Times New Roman" w:hint="eastAsia"/>
          <w:sz w:val="32"/>
          <w:szCs w:val="32"/>
        </w:rPr>
        <w:t>，</w:t>
      </w:r>
      <w:r w:rsidRPr="00185C36">
        <w:rPr>
          <w:rFonts w:ascii="仿宋" w:eastAsia="仿宋" w:hAnsi="仿宋" w:cs="Times New Roman"/>
          <w:sz w:val="32"/>
          <w:szCs w:val="32"/>
        </w:rPr>
        <w:t>因公出国（境）费</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万元；公务用车购置及运维费</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万元（其中：公务用车购置费为</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万元，公务用车运维费</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万元)；公务接待费</w:t>
      </w:r>
      <w:r w:rsidR="00A17A3B" w:rsidRPr="00185C36">
        <w:rPr>
          <w:rFonts w:ascii="仿宋" w:eastAsia="仿宋" w:hAnsi="仿宋" w:cs="Times New Roman" w:hint="eastAsia"/>
          <w:sz w:val="32"/>
          <w:szCs w:val="32"/>
        </w:rPr>
        <w:t>0</w:t>
      </w:r>
      <w:r w:rsidRPr="00185C36">
        <w:rPr>
          <w:rFonts w:ascii="仿宋" w:eastAsia="仿宋" w:hAnsi="仿宋" w:cs="Times New Roman"/>
          <w:sz w:val="32"/>
          <w:szCs w:val="32"/>
        </w:rPr>
        <w:t>万元。与20</w:t>
      </w:r>
      <w:r w:rsidRPr="00185C36">
        <w:rPr>
          <w:rFonts w:ascii="仿宋" w:eastAsia="仿宋" w:hAnsi="仿宋" w:cs="Times New Roman" w:hint="eastAsia"/>
          <w:sz w:val="32"/>
          <w:szCs w:val="32"/>
        </w:rPr>
        <w:t>20</w:t>
      </w:r>
      <w:r w:rsidRPr="00185C36">
        <w:rPr>
          <w:rFonts w:ascii="仿宋" w:eastAsia="仿宋" w:hAnsi="仿宋" w:cs="Times New Roman"/>
          <w:sz w:val="32"/>
          <w:szCs w:val="32"/>
        </w:rPr>
        <w:t>年</w:t>
      </w:r>
      <w:r w:rsidRPr="00185C36">
        <w:rPr>
          <w:rFonts w:ascii="仿宋" w:eastAsia="仿宋" w:hAnsi="仿宋" w:cs="Times New Roman" w:hint="eastAsia"/>
          <w:sz w:val="32"/>
          <w:szCs w:val="32"/>
        </w:rPr>
        <w:t>相比</w:t>
      </w:r>
      <w:r w:rsidR="00F56FE2" w:rsidRPr="00185C36">
        <w:rPr>
          <w:rFonts w:ascii="仿宋" w:eastAsia="仿宋" w:hAnsi="仿宋" w:cs="Times New Roman" w:hint="eastAsia"/>
          <w:sz w:val="32"/>
          <w:szCs w:val="32"/>
        </w:rPr>
        <w:t>持平，</w:t>
      </w:r>
      <w:r w:rsidR="00A17A3B" w:rsidRPr="00185C36">
        <w:rPr>
          <w:rFonts w:ascii="仿宋" w:eastAsia="仿宋" w:hAnsi="仿宋" w:hint="eastAsia"/>
          <w:sz w:val="32"/>
          <w:szCs w:val="32"/>
        </w:rPr>
        <w:t>无增减变化</w:t>
      </w:r>
      <w:r w:rsidRPr="00185C36">
        <w:rPr>
          <w:rFonts w:ascii="仿宋" w:eastAsia="仿宋" w:hAnsi="仿宋" w:cs="Times New Roman"/>
          <w:sz w:val="32"/>
          <w:szCs w:val="32"/>
        </w:rPr>
        <w:t>，</w:t>
      </w:r>
      <w:r w:rsidRPr="00185C36">
        <w:rPr>
          <w:rFonts w:ascii="仿宋" w:eastAsia="仿宋" w:hAnsi="仿宋" w:cs="Times New Roman" w:hint="eastAsia"/>
          <w:sz w:val="32"/>
          <w:szCs w:val="32"/>
        </w:rPr>
        <w:t>其中，</w:t>
      </w:r>
      <w:r w:rsidRPr="00185C36">
        <w:rPr>
          <w:rFonts w:ascii="仿宋" w:eastAsia="仿宋" w:hAnsi="仿宋" w:cs="Times New Roman"/>
          <w:sz w:val="32"/>
          <w:szCs w:val="32"/>
        </w:rPr>
        <w:t>公务用车购置及运维费</w:t>
      </w:r>
      <w:r w:rsidR="00F56FE2" w:rsidRPr="00185C36">
        <w:rPr>
          <w:rFonts w:ascii="仿宋" w:eastAsia="仿宋" w:hAnsi="仿宋" w:cs="Times New Roman" w:hint="eastAsia"/>
          <w:sz w:val="32"/>
          <w:szCs w:val="32"/>
        </w:rPr>
        <w:t>持平，</w:t>
      </w:r>
      <w:r w:rsidR="00F56FE2" w:rsidRPr="00185C36">
        <w:rPr>
          <w:rFonts w:ascii="仿宋" w:eastAsia="仿宋" w:hAnsi="仿宋" w:hint="eastAsia"/>
          <w:sz w:val="32"/>
          <w:szCs w:val="32"/>
        </w:rPr>
        <w:t>无增减变化</w:t>
      </w:r>
      <w:r w:rsidRPr="00185C36">
        <w:rPr>
          <w:rFonts w:ascii="仿宋" w:eastAsia="仿宋" w:hAnsi="仿宋" w:cs="Times New Roman"/>
          <w:sz w:val="32"/>
          <w:szCs w:val="32"/>
        </w:rPr>
        <w:t>（其中：公务用车购置费</w:t>
      </w:r>
      <w:r w:rsidR="00F56FE2" w:rsidRPr="00185C36">
        <w:rPr>
          <w:rFonts w:ascii="仿宋" w:eastAsia="仿宋" w:hAnsi="仿宋" w:cs="Times New Roman" w:hint="eastAsia"/>
          <w:sz w:val="32"/>
          <w:szCs w:val="32"/>
        </w:rPr>
        <w:t>持平，</w:t>
      </w:r>
      <w:r w:rsidR="00F56FE2" w:rsidRPr="00185C36">
        <w:rPr>
          <w:rFonts w:ascii="仿宋" w:eastAsia="仿宋" w:hAnsi="仿宋" w:hint="eastAsia"/>
          <w:sz w:val="32"/>
          <w:szCs w:val="32"/>
        </w:rPr>
        <w:t>无增减变化</w:t>
      </w:r>
      <w:r w:rsidRPr="00185C36">
        <w:rPr>
          <w:rFonts w:ascii="仿宋" w:eastAsia="仿宋" w:hAnsi="仿宋" w:cs="Times New Roman"/>
          <w:sz w:val="32"/>
          <w:szCs w:val="32"/>
        </w:rPr>
        <w:t>，公务用车运维费</w:t>
      </w:r>
      <w:r w:rsidR="00F56FE2" w:rsidRPr="00185C36">
        <w:rPr>
          <w:rFonts w:ascii="仿宋" w:eastAsia="仿宋" w:hAnsi="仿宋" w:cs="Times New Roman" w:hint="eastAsia"/>
          <w:sz w:val="32"/>
          <w:szCs w:val="32"/>
        </w:rPr>
        <w:t>持平，</w:t>
      </w:r>
      <w:r w:rsidR="00F56FE2" w:rsidRPr="00185C36">
        <w:rPr>
          <w:rFonts w:ascii="仿宋" w:eastAsia="仿宋" w:hAnsi="仿宋" w:hint="eastAsia"/>
          <w:sz w:val="32"/>
          <w:szCs w:val="32"/>
        </w:rPr>
        <w:t>无增减变化</w:t>
      </w:r>
      <w:r w:rsidRPr="00185C36">
        <w:rPr>
          <w:rFonts w:ascii="仿宋" w:eastAsia="仿宋" w:hAnsi="仿宋" w:cs="Times New Roman"/>
          <w:sz w:val="32"/>
          <w:szCs w:val="32"/>
        </w:rPr>
        <w:t>)；公务接待费</w:t>
      </w:r>
      <w:r w:rsidR="00F56FE2" w:rsidRPr="00185C36">
        <w:rPr>
          <w:rFonts w:ascii="仿宋" w:eastAsia="仿宋" w:hAnsi="仿宋" w:cs="Times New Roman" w:hint="eastAsia"/>
          <w:sz w:val="32"/>
          <w:szCs w:val="32"/>
        </w:rPr>
        <w:t>持平，</w:t>
      </w:r>
      <w:r w:rsidR="00F56FE2" w:rsidRPr="00185C36">
        <w:rPr>
          <w:rFonts w:ascii="仿宋" w:eastAsia="仿宋" w:hAnsi="仿宋" w:hint="eastAsia"/>
          <w:sz w:val="32"/>
          <w:szCs w:val="32"/>
        </w:rPr>
        <w:t>无增减变化</w:t>
      </w:r>
      <w:r w:rsidRPr="00185C36">
        <w:rPr>
          <w:rFonts w:ascii="仿宋" w:eastAsia="仿宋" w:hAnsi="仿宋" w:cs="Times New Roman" w:hint="eastAsia"/>
          <w:sz w:val="32"/>
          <w:szCs w:val="32"/>
        </w:rPr>
        <w:t>。</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五、绩效预算信息</w:t>
      </w:r>
    </w:p>
    <w:p w:rsidR="00D347CC" w:rsidRDefault="00B8093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部门整体绩效目标</w:t>
      </w:r>
    </w:p>
    <w:p w:rsidR="00D913AF" w:rsidRDefault="00D913AF" w:rsidP="00D913AF">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rsidR="00200B40" w:rsidRDefault="00200B40" w:rsidP="00D913AF">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无</w:t>
      </w:r>
    </w:p>
    <w:p w:rsidR="00D913AF" w:rsidRDefault="00D913AF" w:rsidP="00D913AF">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rsidR="00561995" w:rsidRPr="00185C36" w:rsidRDefault="00561995"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lastRenderedPageBreak/>
        <w:t>（一）提升园区基础设施</w:t>
      </w:r>
    </w:p>
    <w:p w:rsidR="00561995" w:rsidRPr="00185C36" w:rsidRDefault="00561995"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50" w:firstLine="1120"/>
        <w:jc w:val="left"/>
        <w:rPr>
          <w:rFonts w:ascii="仿宋" w:eastAsia="仿宋" w:hAnsi="仿宋"/>
          <w:sz w:val="32"/>
          <w:szCs w:val="32"/>
        </w:rPr>
      </w:pPr>
      <w:r w:rsidRPr="00185C36">
        <w:rPr>
          <w:rFonts w:ascii="仿宋" w:eastAsia="仿宋" w:hAnsi="仿宋"/>
          <w:sz w:val="32"/>
          <w:szCs w:val="32"/>
        </w:rPr>
        <w:t>绩效目标：</w:t>
      </w:r>
      <w:r w:rsidRPr="00185C36">
        <w:rPr>
          <w:rFonts w:ascii="仿宋" w:eastAsia="仿宋" w:hAnsi="仿宋"/>
          <w:color w:val="000000"/>
          <w:sz w:val="32"/>
          <w:szCs w:val="32"/>
        </w:rPr>
        <w:t>对园区绿化、亮化、企业外立面整体进行统一设计提升</w:t>
      </w:r>
      <w:r w:rsidRPr="00185C36">
        <w:rPr>
          <w:rFonts w:ascii="仿宋" w:eastAsia="仿宋" w:hAnsi="仿宋"/>
          <w:sz w:val="32"/>
          <w:szCs w:val="32"/>
        </w:rPr>
        <w:t>。</w:t>
      </w:r>
    </w:p>
    <w:p w:rsidR="00561995" w:rsidRPr="00185C36" w:rsidRDefault="00561995"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50" w:firstLine="1120"/>
        <w:jc w:val="left"/>
        <w:rPr>
          <w:rFonts w:ascii="仿宋" w:eastAsia="仿宋" w:hAnsi="仿宋"/>
          <w:sz w:val="32"/>
          <w:szCs w:val="32"/>
        </w:rPr>
      </w:pPr>
      <w:r w:rsidRPr="00185C36">
        <w:rPr>
          <w:rFonts w:ascii="仿宋" w:eastAsia="仿宋" w:hAnsi="仿宋"/>
          <w:sz w:val="32"/>
          <w:szCs w:val="32"/>
        </w:rPr>
        <w:t>绩效指标：园区相关绿化亮化工程完成率≥95%。</w:t>
      </w:r>
    </w:p>
    <w:p w:rsidR="00561995" w:rsidRPr="00185C36" w:rsidRDefault="00561995"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（二）提高园区群众法律意识</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50" w:firstLine="1120"/>
        <w:jc w:val="left"/>
        <w:rPr>
          <w:rFonts w:ascii="仿宋" w:eastAsia="仿宋" w:hAnsi="仿宋"/>
          <w:sz w:val="32"/>
          <w:szCs w:val="32"/>
        </w:rPr>
      </w:pPr>
      <w:r w:rsidRPr="00185C36">
        <w:rPr>
          <w:rFonts w:ascii="仿宋" w:eastAsia="仿宋" w:hAnsi="仿宋"/>
          <w:sz w:val="32"/>
          <w:szCs w:val="32"/>
        </w:rPr>
        <w:t>绩效目标：提高园区群众法律意识和法律素质，增强法治化。管理水平，促进园区民主与法制建设。</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50" w:firstLine="1120"/>
        <w:jc w:val="left"/>
        <w:rPr>
          <w:rFonts w:ascii="仿宋" w:eastAsia="仿宋" w:hAnsi="仿宋"/>
          <w:sz w:val="32"/>
          <w:szCs w:val="32"/>
        </w:rPr>
      </w:pPr>
      <w:r w:rsidRPr="00185C36">
        <w:rPr>
          <w:rFonts w:ascii="仿宋" w:eastAsia="仿宋" w:hAnsi="仿宋"/>
          <w:sz w:val="32"/>
          <w:szCs w:val="32"/>
        </w:rPr>
        <w:t>绩效指标：组织主题宣传活动场次，网络舆情处置率=100%。</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（三）项目招商引资工作</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 xml:space="preserve">    绩效目标：秉承“新兴新型、互利共赢、集群发展、科技智能”的发展理念，构建装配式（PC）产业集群、装配式轻体保温隔墙（ALC）产业集群、绿色智能建筑产业集群、新型建筑门窗、新兴建筑材料研发与交易产业集群。</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 xml:space="preserve">    绩效指标：招商项目工作任务完成率100%；组织参与招商活动不少于8次。</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（四）保持信访稳定</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400" w:firstLine="1280"/>
        <w:jc w:val="left"/>
        <w:rPr>
          <w:rFonts w:ascii="仿宋" w:eastAsia="仿宋" w:hAnsi="仿宋"/>
          <w:sz w:val="32"/>
          <w:szCs w:val="32"/>
        </w:rPr>
      </w:pPr>
      <w:r w:rsidRPr="00185C36">
        <w:rPr>
          <w:rFonts w:ascii="仿宋" w:eastAsia="仿宋" w:hAnsi="仿宋"/>
          <w:sz w:val="32"/>
          <w:szCs w:val="32"/>
        </w:rPr>
        <w:t>绩效目标：调解园区企业相关劳动人事纠纷。</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400" w:firstLine="1280"/>
        <w:jc w:val="left"/>
        <w:rPr>
          <w:rFonts w:ascii="仿宋" w:eastAsia="仿宋" w:hAnsi="仿宋"/>
          <w:sz w:val="32"/>
          <w:szCs w:val="32"/>
        </w:rPr>
      </w:pPr>
      <w:r w:rsidRPr="00185C36">
        <w:rPr>
          <w:rFonts w:ascii="仿宋" w:eastAsia="仿宋" w:hAnsi="仿宋"/>
          <w:sz w:val="32"/>
          <w:szCs w:val="32"/>
        </w:rPr>
        <w:t>绩效指标：劳动纠纷调解率≥98%。</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（五）加强财务预决算管理</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400" w:firstLine="1280"/>
        <w:jc w:val="left"/>
        <w:rPr>
          <w:rFonts w:ascii="仿宋" w:eastAsia="仿宋" w:hAnsi="仿宋"/>
          <w:sz w:val="32"/>
          <w:szCs w:val="32"/>
        </w:rPr>
      </w:pPr>
      <w:r w:rsidRPr="00185C36">
        <w:rPr>
          <w:rFonts w:ascii="仿宋" w:eastAsia="仿宋" w:hAnsi="仿宋"/>
          <w:sz w:val="32"/>
          <w:szCs w:val="32"/>
        </w:rPr>
        <w:t>绩效目标：编制园区年度财政预算并组织执行；管理和监督园区财政收支。</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400" w:firstLine="1280"/>
        <w:jc w:val="left"/>
        <w:rPr>
          <w:rFonts w:ascii="仿宋" w:eastAsia="仿宋" w:hAnsi="仿宋"/>
          <w:sz w:val="32"/>
          <w:szCs w:val="32"/>
        </w:rPr>
      </w:pPr>
      <w:r w:rsidRPr="00185C36">
        <w:rPr>
          <w:rFonts w:ascii="仿宋" w:eastAsia="仿宋" w:hAnsi="仿宋"/>
          <w:sz w:val="32"/>
          <w:szCs w:val="32"/>
        </w:rPr>
        <w:t>绩效指标：预决算编制和执行，监督监管财政收支资金利用率≥95%。</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 w:eastAsia="仿宋" w:hAnsi="仿宋"/>
          <w:sz w:val="32"/>
          <w:szCs w:val="32"/>
        </w:rPr>
      </w:pPr>
      <w:r w:rsidRPr="00185C36">
        <w:rPr>
          <w:rFonts w:ascii="仿宋" w:eastAsia="仿宋" w:hAnsi="仿宋"/>
          <w:sz w:val="32"/>
          <w:szCs w:val="32"/>
        </w:rPr>
        <w:t>(六）加强安全生产管理</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00" w:firstLine="960"/>
        <w:jc w:val="left"/>
        <w:rPr>
          <w:rFonts w:ascii="仿宋" w:eastAsia="仿宋" w:hAnsi="仿宋"/>
          <w:sz w:val="32"/>
          <w:szCs w:val="32"/>
        </w:rPr>
      </w:pPr>
      <w:r w:rsidRPr="00185C36">
        <w:rPr>
          <w:rFonts w:ascii="仿宋" w:eastAsia="仿宋" w:hAnsi="仿宋"/>
          <w:sz w:val="32"/>
          <w:szCs w:val="32"/>
        </w:rPr>
        <w:lastRenderedPageBreak/>
        <w:t>绩效目标：对园区企业安全生产监督管理；协调企业安全生产事故的调查处理工作，组织、指挥和协调安全生产救援工作，并完成矛盾纠纷排查。</w:t>
      </w:r>
    </w:p>
    <w:p w:rsidR="00D913AF" w:rsidRPr="00185C36" w:rsidRDefault="00D913AF" w:rsidP="00561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300" w:firstLine="960"/>
        <w:jc w:val="left"/>
        <w:rPr>
          <w:rFonts w:ascii="仿宋" w:eastAsia="仿宋" w:hAnsi="仿宋"/>
          <w:sz w:val="32"/>
          <w:szCs w:val="32"/>
        </w:rPr>
      </w:pPr>
      <w:r w:rsidRPr="00185C36">
        <w:rPr>
          <w:rFonts w:ascii="仿宋" w:eastAsia="仿宋" w:hAnsi="仿宋"/>
          <w:sz w:val="32"/>
          <w:szCs w:val="32"/>
        </w:rPr>
        <w:t>绩效指标：园区内企业安全生产检查工作完成率 100%；安全监督工作任务完成率 100%；群众纠纷协调率、处理率、调解率 100%。</w:t>
      </w:r>
    </w:p>
    <w:p w:rsidR="00D913AF" w:rsidRDefault="00D913AF" w:rsidP="00D913AF">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jc w:val="left"/>
        <w:rPr>
          <w:rFonts w:ascii="仿宋" w:eastAsia="仿宋" w:hAnsi="仿宋"/>
          <w:sz w:val="32"/>
          <w:szCs w:val="32"/>
        </w:rPr>
      </w:pPr>
      <w:r w:rsidRPr="00185C36">
        <w:rPr>
          <w:rFonts w:ascii="仿宋" w:eastAsia="仿宋" w:hAnsi="仿宋"/>
          <w:sz w:val="32"/>
          <w:szCs w:val="32"/>
        </w:rPr>
        <w:t>（1）完善制度建设，以</w:t>
      </w:r>
      <w:r w:rsidRPr="00185C36">
        <w:rPr>
          <w:rFonts w:ascii="仿宋" w:eastAsia="仿宋" w:hAnsi="仿宋"/>
          <w:color w:val="000000"/>
          <w:sz w:val="32"/>
          <w:szCs w:val="32"/>
        </w:rPr>
        <w:t>党风廉政建设为主体，营造风清气正的氛围</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5"/>
        <w:jc w:val="left"/>
        <w:rPr>
          <w:rFonts w:ascii="仿宋" w:eastAsia="仿宋" w:hAnsi="仿宋"/>
          <w:color w:val="000000"/>
          <w:sz w:val="32"/>
          <w:szCs w:val="32"/>
        </w:rPr>
      </w:pPr>
      <w:r w:rsidRPr="00185C36">
        <w:rPr>
          <w:rFonts w:ascii="仿宋" w:eastAsia="仿宋" w:hAnsi="仿宋"/>
          <w:color w:val="000000"/>
          <w:sz w:val="32"/>
          <w:szCs w:val="32"/>
        </w:rPr>
        <w:t>一是加强理论修养，坚定理想信念。深入学习习近平新时代中国特色社会主义思想和党的十九大精神，守初心、担使命；二是加强党性修养，增强宗旨意识。树立正确的世界观、人生观、价值观和政绩观，及时清洗思想上的灰尘，问计于民、问需于民、问政于民，全心全意为人民服务，在思想上、行动上与党中央保持高度一致，把县委、政府的工作部署落地落实。</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（2）加强支出管理</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通过优化支出结构、编细编实预算、做好绩效评价工作、尽快启动项目、及时支付资金、6 月底前细化代编预算、按规定及时下达资金等多种措施，确保支出进度达标。</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（3）加强绩效运行监控</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按要求开展绩效运行监控，发现问题及时采取措施，确保绩效目标如期保质实现。</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（4）做好绩效自评</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按要求开展上年度部门预算绩效自评和重点评价工作，对评价中发现的问题及时整改，调整优化支出结构，提高财政资金使用效益。</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lastRenderedPageBreak/>
        <w:t>（5）规范财务资产管理。</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完善财务管理制度，严格审批程序，加强固定资产登记、使用和报废处置管理，做到支出合理，物尽其用。</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（6）加强内部监督</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（7）加强宣传培训调研</w:t>
      </w:r>
    </w:p>
    <w:p w:rsidR="00D913AF" w:rsidRPr="00185C36" w:rsidRDefault="00D913AF" w:rsidP="00D913A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00"/>
        <w:rPr>
          <w:rFonts w:ascii="仿宋" w:eastAsia="仿宋" w:hAnsi="仿宋"/>
          <w:sz w:val="32"/>
          <w:szCs w:val="32"/>
        </w:rPr>
      </w:pPr>
      <w:r w:rsidRPr="00185C36">
        <w:rPr>
          <w:rFonts w:ascii="仿宋" w:eastAsia="仿宋" w:hAnsi="仿宋"/>
          <w:sz w:val="32"/>
          <w:szCs w:val="32"/>
        </w:rPr>
        <w:t>加强人员培训，提高本部门职工业务素质；加强调研，提出优化财政资金配置、提高资金使用效益的意见意见；加大宣传力度，强化预算绩效管理意识，促进预算绩效管理水平进一步提升。</w:t>
      </w:r>
    </w:p>
    <w:p w:rsidR="00D913AF" w:rsidRDefault="00D913AF" w:rsidP="005E3277">
      <w:pPr>
        <w:overflowPunct w:val="0"/>
        <w:adjustRightInd w:val="0"/>
        <w:snapToGrid w:val="0"/>
        <w:spacing w:afterLines="50"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13115" w:type="dxa"/>
        <w:jc w:val="center"/>
        <w:tblInd w:w="-2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1001"/>
        <w:gridCol w:w="1976"/>
        <w:gridCol w:w="1417"/>
        <w:gridCol w:w="2272"/>
        <w:gridCol w:w="3380"/>
        <w:gridCol w:w="709"/>
        <w:gridCol w:w="567"/>
        <w:gridCol w:w="709"/>
        <w:gridCol w:w="1084"/>
      </w:tblGrid>
      <w:tr w:rsidR="00D913AF" w:rsidTr="00200B40">
        <w:trPr>
          <w:trHeight w:val="326"/>
          <w:tblHeader/>
          <w:jc w:val="center"/>
        </w:trPr>
        <w:tc>
          <w:tcPr>
            <w:tcW w:w="1001"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一级指标</w:t>
            </w:r>
          </w:p>
        </w:tc>
        <w:tc>
          <w:tcPr>
            <w:tcW w:w="1976"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二级</w:t>
            </w:r>
          </w:p>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指标</w:t>
            </w:r>
          </w:p>
        </w:tc>
        <w:tc>
          <w:tcPr>
            <w:tcW w:w="1417"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三级</w:t>
            </w:r>
          </w:p>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指标</w:t>
            </w:r>
          </w:p>
        </w:tc>
        <w:tc>
          <w:tcPr>
            <w:tcW w:w="2272"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评（扣）分标准</w:t>
            </w:r>
          </w:p>
        </w:tc>
        <w:tc>
          <w:tcPr>
            <w:tcW w:w="3380"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绩效指标</w:t>
            </w:r>
          </w:p>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描述</w:t>
            </w:r>
          </w:p>
        </w:tc>
        <w:tc>
          <w:tcPr>
            <w:tcW w:w="1985" w:type="dxa"/>
            <w:gridSpan w:val="3"/>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指标值</w:t>
            </w:r>
          </w:p>
        </w:tc>
        <w:tc>
          <w:tcPr>
            <w:tcW w:w="1084"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指标值</w:t>
            </w:r>
          </w:p>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确定依据</w:t>
            </w:r>
          </w:p>
        </w:tc>
      </w:tr>
      <w:tr w:rsidR="00D913AF" w:rsidTr="00200B40">
        <w:trPr>
          <w:trHeight w:val="533"/>
          <w:tblHeader/>
          <w:jc w:val="center"/>
        </w:trPr>
        <w:tc>
          <w:tcPr>
            <w:tcW w:w="1001" w:type="dxa"/>
            <w:vMerge/>
            <w:tcBorders>
              <w:tl2br w:val="nil"/>
              <w:tr2bl w:val="nil"/>
            </w:tcBorders>
            <w:vAlign w:val="center"/>
          </w:tcPr>
          <w:p w:rsidR="00D913AF" w:rsidRDefault="00D913AF" w:rsidP="00200B40"/>
        </w:tc>
        <w:tc>
          <w:tcPr>
            <w:tcW w:w="1976" w:type="dxa"/>
            <w:vMerge/>
            <w:tcBorders>
              <w:tl2br w:val="nil"/>
              <w:tr2bl w:val="nil"/>
            </w:tcBorders>
            <w:vAlign w:val="center"/>
          </w:tcPr>
          <w:p w:rsidR="00D913AF" w:rsidRDefault="00D913AF" w:rsidP="00200B40"/>
        </w:tc>
        <w:tc>
          <w:tcPr>
            <w:tcW w:w="1417" w:type="dxa"/>
            <w:vMerge/>
            <w:tcBorders>
              <w:tl2br w:val="nil"/>
              <w:tr2bl w:val="nil"/>
            </w:tcBorders>
            <w:vAlign w:val="center"/>
          </w:tcPr>
          <w:p w:rsidR="00D913AF" w:rsidRDefault="00D913AF" w:rsidP="00200B40"/>
        </w:tc>
        <w:tc>
          <w:tcPr>
            <w:tcW w:w="2272" w:type="dxa"/>
            <w:vMerge/>
            <w:tcBorders>
              <w:tl2br w:val="nil"/>
              <w:tr2bl w:val="nil"/>
            </w:tcBorders>
            <w:vAlign w:val="center"/>
          </w:tcPr>
          <w:p w:rsidR="00D913AF" w:rsidRDefault="00D913AF" w:rsidP="00200B40"/>
        </w:tc>
        <w:tc>
          <w:tcPr>
            <w:tcW w:w="3380" w:type="dxa"/>
            <w:vMerge/>
            <w:tcBorders>
              <w:tl2br w:val="nil"/>
              <w:tr2bl w:val="nil"/>
            </w:tcBorders>
            <w:vAlign w:val="center"/>
          </w:tcPr>
          <w:p w:rsidR="00D913AF" w:rsidRDefault="00D913AF" w:rsidP="00200B40"/>
        </w:tc>
        <w:tc>
          <w:tcPr>
            <w:tcW w:w="709" w:type="dxa"/>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值</w:t>
            </w:r>
          </w:p>
        </w:tc>
        <w:tc>
          <w:tcPr>
            <w:tcW w:w="709" w:type="dxa"/>
            <w:tcBorders>
              <w:tl2br w:val="nil"/>
              <w:tr2bl w:val="nil"/>
            </w:tcBorders>
            <w:vAlign w:val="center"/>
          </w:tcPr>
          <w:p w:rsidR="00D913AF" w:rsidRDefault="00D913AF" w:rsidP="00200B40">
            <w:pPr>
              <w:widowControl/>
              <w:adjustRightInd w:val="0"/>
              <w:snapToGrid w:val="0"/>
              <w:jc w:val="center"/>
              <w:rPr>
                <w:rFonts w:ascii="方正书宋_GBK" w:eastAsia="方正书宋_GBK"/>
                <w:b/>
              </w:rPr>
            </w:pPr>
            <w:r>
              <w:rPr>
                <w:rFonts w:ascii="方正书宋_GBK" w:eastAsia="方正书宋_GBK"/>
                <w:b/>
              </w:rPr>
              <w:t>单位</w:t>
            </w:r>
          </w:p>
        </w:tc>
        <w:tc>
          <w:tcPr>
            <w:tcW w:w="1084" w:type="dxa"/>
            <w:vMerge/>
            <w:tcBorders>
              <w:tl2br w:val="nil"/>
              <w:tr2bl w:val="nil"/>
            </w:tcBorders>
            <w:vAlign w:val="center"/>
          </w:tcPr>
          <w:p w:rsidR="00D913AF" w:rsidRDefault="00D913AF" w:rsidP="00200B40"/>
        </w:tc>
      </w:tr>
      <w:tr w:rsidR="00D913AF" w:rsidTr="00200B40">
        <w:trPr>
          <w:trHeight w:val="594"/>
          <w:jc w:val="center"/>
        </w:trPr>
        <w:tc>
          <w:tcPr>
            <w:tcW w:w="1001" w:type="dxa"/>
            <w:vMerge w:val="restart"/>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部门产出</w:t>
            </w:r>
          </w:p>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数量</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工资发放率</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561995">
            <w:pPr>
              <w:widowControl/>
              <w:adjustRightInd w:val="0"/>
              <w:snapToGrid w:val="0"/>
              <w:rPr>
                <w:rFonts w:ascii="仿宋" w:eastAsia="仿宋" w:hAnsi="仿宋"/>
                <w:sz w:val="15"/>
                <w:szCs w:val="15"/>
              </w:rPr>
            </w:pPr>
            <w:r w:rsidRPr="00185C36">
              <w:rPr>
                <w:rFonts w:ascii="仿宋" w:eastAsia="仿宋" w:hAnsi="仿宋" w:hint="eastAsia"/>
                <w:sz w:val="15"/>
                <w:szCs w:val="15"/>
              </w:rPr>
              <w:t>保障</w:t>
            </w:r>
            <w:r w:rsidR="00561995">
              <w:rPr>
                <w:rFonts w:ascii="仿宋" w:eastAsia="仿宋" w:hAnsi="仿宋" w:hint="eastAsia"/>
                <w:sz w:val="15"/>
                <w:szCs w:val="15"/>
              </w:rPr>
              <w:t>新桥环保科技产业园</w:t>
            </w:r>
            <w:r w:rsidRPr="00185C36">
              <w:rPr>
                <w:rFonts w:ascii="仿宋" w:eastAsia="仿宋" w:hAnsi="仿宋" w:hint="eastAsia"/>
                <w:sz w:val="15"/>
                <w:szCs w:val="15"/>
              </w:rPr>
              <w:t>在职人员的基本工资津补贴，离退休人员的补助正常发放。保障</w:t>
            </w:r>
            <w:r w:rsidR="00561995">
              <w:rPr>
                <w:rFonts w:ascii="仿宋" w:eastAsia="仿宋" w:hAnsi="仿宋" w:hint="eastAsia"/>
                <w:sz w:val="15"/>
                <w:szCs w:val="15"/>
              </w:rPr>
              <w:t>新桥</w:t>
            </w:r>
            <w:r w:rsidRPr="00185C36">
              <w:rPr>
                <w:rFonts w:ascii="仿宋" w:eastAsia="仿宋" w:hAnsi="仿宋" w:hint="eastAsia"/>
                <w:sz w:val="15"/>
                <w:szCs w:val="15"/>
              </w:rPr>
              <w:t>农场机关职工基本工资正常发放。</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561995" w:rsidP="00200B40">
            <w:pPr>
              <w:widowControl/>
              <w:adjustRightInd w:val="0"/>
              <w:snapToGrid w:val="0"/>
              <w:jc w:val="center"/>
              <w:rPr>
                <w:rFonts w:ascii="仿宋" w:eastAsia="仿宋" w:hAnsi="仿宋"/>
                <w:sz w:val="15"/>
                <w:szCs w:val="15"/>
              </w:rPr>
            </w:pPr>
            <w:r>
              <w:rPr>
                <w:rFonts w:ascii="仿宋" w:eastAsia="仿宋" w:hAnsi="仿宋" w:hint="eastAsia"/>
                <w:sz w:val="15"/>
                <w:szCs w:val="15"/>
              </w:rPr>
              <w:t>21</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人</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按照预算执行</w:t>
            </w:r>
          </w:p>
        </w:tc>
      </w:tr>
      <w:tr w:rsidR="00D913AF" w:rsidTr="00200B40">
        <w:trPr>
          <w:trHeight w:val="614"/>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质量</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项目完成质量</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按合同规定保质保量完成</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100</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百分比</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竣工验收鉴定书</w:t>
            </w:r>
          </w:p>
        </w:tc>
      </w:tr>
      <w:tr w:rsidR="00D913AF" w:rsidTr="00200B40">
        <w:trPr>
          <w:trHeight w:val="458"/>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时效</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项目完成及时率</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按照要求和计划完成研究任务的项目在所有立项项目中的比例</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95</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百分比</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2021年工作计划执行</w:t>
            </w:r>
          </w:p>
        </w:tc>
      </w:tr>
      <w:tr w:rsidR="00D913AF" w:rsidTr="00200B40">
        <w:trPr>
          <w:trHeight w:val="614"/>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成本</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积极争取上级专项债券资金</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积极争取上级专项债券资金，为项目顺利实施提供资金保障</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95</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百分百</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2021年工作计划执行</w:t>
            </w:r>
          </w:p>
        </w:tc>
      </w:tr>
      <w:tr w:rsidR="00D913AF" w:rsidTr="00200B40">
        <w:trPr>
          <w:trHeight w:val="614"/>
          <w:jc w:val="center"/>
        </w:trPr>
        <w:tc>
          <w:tcPr>
            <w:tcW w:w="1001" w:type="dxa"/>
            <w:vMerge w:val="restart"/>
            <w:tcBorders>
              <w:tl2br w:val="nil"/>
              <w:tr2bl w:val="nil"/>
            </w:tcBorders>
            <w:vAlign w:val="center"/>
          </w:tcPr>
          <w:p w:rsidR="00D913AF" w:rsidRDefault="00D913AF" w:rsidP="00200B40">
            <w:pPr>
              <w:adjustRightInd w:val="0"/>
              <w:snapToGrid w:val="0"/>
              <w:jc w:val="center"/>
              <w:rPr>
                <w:rFonts w:ascii="方正书宋_GBK" w:eastAsia="方正书宋_GBK"/>
              </w:rPr>
            </w:pPr>
            <w:r>
              <w:rPr>
                <w:rFonts w:ascii="方正书宋_GBK" w:eastAsia="方正书宋_GBK"/>
              </w:rPr>
              <w:lastRenderedPageBreak/>
              <w:t>部门</w:t>
            </w:r>
            <w:r>
              <w:rPr>
                <w:rFonts w:ascii="方正书宋_GBK" w:eastAsia="方正书宋_GBK" w:hint="eastAsia"/>
              </w:rPr>
              <w:t>效果</w:t>
            </w:r>
          </w:p>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rPr>
              <w:t>社会</w:t>
            </w:r>
          </w:p>
          <w:p w:rsidR="00D913AF" w:rsidRDefault="00D913AF" w:rsidP="00200B40">
            <w:pPr>
              <w:widowControl/>
              <w:adjustRightInd w:val="0"/>
              <w:snapToGrid w:val="0"/>
              <w:jc w:val="center"/>
              <w:rPr>
                <w:rFonts w:ascii="方正书宋_GBK" w:eastAsia="方正书宋_GBK"/>
              </w:rPr>
            </w:pPr>
            <w:r>
              <w:rPr>
                <w:rFonts w:ascii="方正书宋_GBK" w:eastAsia="方正书宋_GBK"/>
              </w:rPr>
              <w:t>效益</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保障工作开展</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涵洞桥项目按设计要求持续发挥作用年限</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95</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百分百</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2021年工作计划执行</w:t>
            </w:r>
          </w:p>
        </w:tc>
      </w:tr>
      <w:tr w:rsidR="00D913AF" w:rsidTr="00200B40">
        <w:trPr>
          <w:trHeight w:val="517"/>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hint="eastAsia"/>
              </w:rPr>
              <w:t>经济</w:t>
            </w:r>
          </w:p>
          <w:p w:rsidR="00D913AF" w:rsidRDefault="00D913AF" w:rsidP="00200B40">
            <w:pPr>
              <w:widowControl/>
              <w:adjustRightInd w:val="0"/>
              <w:snapToGrid w:val="0"/>
              <w:jc w:val="center"/>
              <w:rPr>
                <w:rFonts w:ascii="方正书宋_GBK" w:eastAsia="方正书宋_GBK"/>
              </w:rPr>
            </w:pPr>
            <w:r>
              <w:rPr>
                <w:rFonts w:ascii="方正书宋_GBK" w:eastAsia="方正书宋_GBK" w:hint="eastAsia"/>
              </w:rPr>
              <w:t>效益</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56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p>
        </w:tc>
      </w:tr>
      <w:tr w:rsidR="00D913AF" w:rsidTr="00200B40">
        <w:trPr>
          <w:trHeight w:val="614"/>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hint="eastAsia"/>
              </w:rPr>
              <w:t>生态</w:t>
            </w:r>
          </w:p>
          <w:p w:rsidR="00D913AF" w:rsidRDefault="00D913AF" w:rsidP="00200B40">
            <w:pPr>
              <w:widowControl/>
              <w:adjustRightInd w:val="0"/>
              <w:snapToGrid w:val="0"/>
              <w:jc w:val="center"/>
              <w:rPr>
                <w:rFonts w:ascii="方正书宋_GBK" w:eastAsia="方正书宋_GBK"/>
              </w:rPr>
            </w:pPr>
            <w:r>
              <w:rPr>
                <w:rFonts w:ascii="方正书宋_GBK" w:eastAsia="方正书宋_GBK" w:hint="eastAsia"/>
              </w:rPr>
              <w:t>效益</w:t>
            </w:r>
          </w:p>
        </w:tc>
        <w:tc>
          <w:tcPr>
            <w:tcW w:w="141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改善人居环境</w:t>
            </w:r>
          </w:p>
        </w:tc>
        <w:tc>
          <w:tcPr>
            <w:tcW w:w="2272"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全面开展美丽乡村建设，保障黄甫农场各项公益事业建设进行，改善我辖区人居环境。</w:t>
            </w: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95</w:t>
            </w: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百分百</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 xml:space="preserve">《河北省美丽乡村建设省级专项资金管理办法》 （冀财农{2018}139号）文件精神  </w:t>
            </w:r>
          </w:p>
        </w:tc>
      </w:tr>
      <w:tr w:rsidR="00D913AF" w:rsidTr="00200B40">
        <w:trPr>
          <w:trHeight w:val="770"/>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adjustRightInd w:val="0"/>
              <w:snapToGrid w:val="0"/>
              <w:jc w:val="center"/>
              <w:rPr>
                <w:rFonts w:ascii="方正书宋_GBK" w:eastAsia="方正书宋_GBK"/>
              </w:rPr>
            </w:pPr>
            <w:r>
              <w:rPr>
                <w:rFonts w:ascii="方正书宋_GBK" w:eastAsia="方正书宋_GBK" w:hint="eastAsia"/>
              </w:rPr>
              <w:t>可持续影响</w:t>
            </w:r>
          </w:p>
        </w:tc>
        <w:tc>
          <w:tcPr>
            <w:tcW w:w="1417"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持续时效</w:t>
            </w:r>
          </w:p>
        </w:tc>
        <w:tc>
          <w:tcPr>
            <w:tcW w:w="2272"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项目持续发挥作用年限</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15</w:t>
            </w:r>
          </w:p>
        </w:tc>
        <w:tc>
          <w:tcPr>
            <w:tcW w:w="709" w:type="dxa"/>
            <w:tcBorders>
              <w:tl2br w:val="nil"/>
              <w:tr2bl w:val="nil"/>
            </w:tcBorders>
            <w:vAlign w:val="center"/>
          </w:tcPr>
          <w:p w:rsidR="00D913AF" w:rsidRPr="00185C36" w:rsidRDefault="00D913AF" w:rsidP="00200B40">
            <w:pPr>
              <w:widowControl/>
              <w:adjustRightInd w:val="0"/>
              <w:snapToGrid w:val="0"/>
              <w:jc w:val="center"/>
              <w:rPr>
                <w:rFonts w:ascii="仿宋" w:eastAsia="仿宋" w:hAnsi="仿宋"/>
                <w:sz w:val="15"/>
                <w:szCs w:val="15"/>
              </w:rPr>
            </w:pPr>
            <w:r w:rsidRPr="00185C36">
              <w:rPr>
                <w:rFonts w:ascii="仿宋" w:eastAsia="仿宋" w:hAnsi="仿宋" w:hint="eastAsia"/>
                <w:sz w:val="15"/>
                <w:szCs w:val="15"/>
              </w:rPr>
              <w:t>年</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行业标准</w:t>
            </w:r>
          </w:p>
        </w:tc>
      </w:tr>
      <w:tr w:rsidR="00D913AF" w:rsidTr="00200B40">
        <w:trPr>
          <w:trHeight w:val="604"/>
          <w:jc w:val="center"/>
        </w:trPr>
        <w:tc>
          <w:tcPr>
            <w:tcW w:w="1001" w:type="dxa"/>
            <w:vMerge/>
            <w:tcBorders>
              <w:tl2br w:val="nil"/>
              <w:tr2bl w:val="nil"/>
            </w:tcBorders>
            <w:vAlign w:val="center"/>
          </w:tcPr>
          <w:p w:rsidR="00D913AF" w:rsidRDefault="00D913AF" w:rsidP="00200B40"/>
        </w:tc>
        <w:tc>
          <w:tcPr>
            <w:tcW w:w="1976" w:type="dxa"/>
            <w:tcBorders>
              <w:tl2br w:val="nil"/>
              <w:tr2bl w:val="nil"/>
            </w:tcBorders>
            <w:vAlign w:val="center"/>
          </w:tcPr>
          <w:p w:rsidR="00D913AF" w:rsidRDefault="00D913AF" w:rsidP="00200B40">
            <w:pPr>
              <w:widowControl/>
              <w:adjustRightInd w:val="0"/>
              <w:snapToGrid w:val="0"/>
              <w:jc w:val="center"/>
              <w:rPr>
                <w:rFonts w:ascii="方正书宋_GBK" w:eastAsia="方正书宋_GBK"/>
              </w:rPr>
            </w:pPr>
            <w:r>
              <w:rPr>
                <w:rFonts w:ascii="方正书宋_GBK" w:eastAsia="方正书宋_GBK" w:hint="eastAsia"/>
              </w:rPr>
              <w:t>满意度</w:t>
            </w:r>
          </w:p>
        </w:tc>
        <w:tc>
          <w:tcPr>
            <w:tcW w:w="1417"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服务对象满意度</w:t>
            </w:r>
          </w:p>
        </w:tc>
        <w:tc>
          <w:tcPr>
            <w:tcW w:w="2272"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按照权重比例扣分</w:t>
            </w:r>
          </w:p>
        </w:tc>
        <w:tc>
          <w:tcPr>
            <w:tcW w:w="3380" w:type="dxa"/>
            <w:tcBorders>
              <w:tl2br w:val="nil"/>
              <w:tr2bl w:val="nil"/>
            </w:tcBorders>
            <w:noWrap/>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通过项目的实施职工群众对项目实施情况满意度</w:t>
            </w: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w:t>
            </w:r>
          </w:p>
        </w:tc>
        <w:tc>
          <w:tcPr>
            <w:tcW w:w="567"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90</w:t>
            </w:r>
          </w:p>
        </w:tc>
        <w:tc>
          <w:tcPr>
            <w:tcW w:w="709"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百分比</w:t>
            </w:r>
          </w:p>
        </w:tc>
        <w:tc>
          <w:tcPr>
            <w:tcW w:w="1084" w:type="dxa"/>
            <w:tcBorders>
              <w:tl2br w:val="nil"/>
              <w:tr2bl w:val="nil"/>
            </w:tcBorders>
            <w:vAlign w:val="center"/>
          </w:tcPr>
          <w:p w:rsidR="00D913AF" w:rsidRPr="00185C36" w:rsidRDefault="00D913AF" w:rsidP="00200B40">
            <w:pPr>
              <w:widowControl/>
              <w:adjustRightInd w:val="0"/>
              <w:snapToGrid w:val="0"/>
              <w:rPr>
                <w:rFonts w:ascii="仿宋" w:eastAsia="仿宋" w:hAnsi="仿宋"/>
                <w:sz w:val="15"/>
                <w:szCs w:val="15"/>
              </w:rPr>
            </w:pPr>
            <w:r w:rsidRPr="00185C36">
              <w:rPr>
                <w:rFonts w:ascii="仿宋" w:eastAsia="仿宋" w:hAnsi="仿宋" w:hint="eastAsia"/>
                <w:sz w:val="15"/>
                <w:szCs w:val="15"/>
              </w:rPr>
              <w:t>调查问卷</w:t>
            </w:r>
          </w:p>
        </w:tc>
      </w:tr>
    </w:tbl>
    <w:p w:rsidR="00D913AF" w:rsidRDefault="00D913AF" w:rsidP="00D913AF">
      <w:pPr>
        <w:spacing w:line="584" w:lineRule="exact"/>
        <w:rPr>
          <w:rFonts w:ascii="仿宋_GB2312" w:eastAsia="仿宋_GB2312" w:cs="Times New Roman"/>
          <w:sz w:val="32"/>
          <w:szCs w:val="32"/>
        </w:rPr>
      </w:pPr>
    </w:p>
    <w:p w:rsidR="00D913AF" w:rsidRDefault="00D913AF" w:rsidP="00D913AF">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hint="eastAsia"/>
          <w:sz w:val="32"/>
          <w:szCs w:val="32"/>
        </w:rPr>
        <w:t>资金绩效目标</w:t>
      </w:r>
    </w:p>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sidR="00AD4356" w:rsidRPr="00AD4356">
        <w:rPr>
          <w:rFonts w:hint="eastAsia"/>
        </w:rPr>
        <w:t xml:space="preserve"> </w:t>
      </w:r>
      <w:r w:rsidR="00AD4356" w:rsidRPr="00AD4356">
        <w:rPr>
          <w:rFonts w:ascii="Times New Roman" w:eastAsia="仿宋_GB2312" w:hAnsi="Times New Roman" w:cs="Times New Roman" w:hint="eastAsia"/>
          <w:sz w:val="28"/>
        </w:rPr>
        <w:t>大长田幼儿园专项公用经费</w:t>
      </w:r>
      <w:r>
        <w:rPr>
          <w:rFonts w:ascii="Times New Roman" w:eastAsia="仿宋_GB2312" w:hAnsi="Times New Roman" w:cs="Times New Roman"/>
          <w:sz w:val="28"/>
        </w:rPr>
        <w:t>绩效目标表</w:t>
      </w:r>
      <w:bookmarkStart w:id="1" w:name="_Toc29799657"/>
      <w:bookmarkEnd w:id="1"/>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266"/>
        <w:gridCol w:w="1611"/>
        <w:gridCol w:w="5597"/>
        <w:gridCol w:w="486"/>
        <w:gridCol w:w="516"/>
        <w:gridCol w:w="537"/>
        <w:gridCol w:w="2986"/>
      </w:tblGrid>
      <w:tr w:rsidR="00AD4356" w:rsidTr="00B84BDC">
        <w:trPr>
          <w:trHeight w:val="889"/>
        </w:trPr>
        <w:tc>
          <w:tcPr>
            <w:tcW w:w="0" w:type="auto"/>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AD4356" w:rsidRDefault="00AD4356">
            <w:pPr>
              <w:rPr>
                <w:rFonts w:ascii="仿宋_GB2312" w:eastAsia="仿宋_GB2312" w:hAnsi="宋体" w:cs="宋体"/>
                <w:sz w:val="24"/>
                <w:szCs w:val="24"/>
              </w:rPr>
            </w:pPr>
            <w:r>
              <w:rPr>
                <w:rFonts w:ascii="仿宋_GB2312" w:eastAsia="仿宋_GB2312" w:hint="eastAsia"/>
              </w:rPr>
              <w:t>改善教育环境、，以推动义务教育持续、均衡发展为目标，以增强教师爱岗敬业的积极性为导向建立健全教育规律、有利于孩子成长、完善的学校及教职工考核制度，促进教育事业健康、合理、有序发展。</w:t>
            </w:r>
          </w:p>
        </w:tc>
      </w:tr>
      <w:tr w:rsidR="00AD4356" w:rsidTr="00B84BDC">
        <w:trPr>
          <w:trHeight w:val="420"/>
        </w:trPr>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指标值</w:t>
            </w:r>
          </w:p>
        </w:tc>
        <w:tc>
          <w:tcPr>
            <w:tcW w:w="0" w:type="auto"/>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指标值确定依据</w:t>
            </w:r>
          </w:p>
        </w:tc>
      </w:tr>
      <w:tr w:rsidR="00AD4356" w:rsidTr="00B84BDC">
        <w:trPr>
          <w:trHeight w:val="345"/>
        </w:trPr>
        <w:tc>
          <w:tcPr>
            <w:tcW w:w="0" w:type="auto"/>
            <w:vMerge/>
            <w:vAlign w:val="center"/>
            <w:hideMark/>
          </w:tcPr>
          <w:p w:rsidR="00AD4356" w:rsidRDefault="00AD4356">
            <w:pPr>
              <w:rPr>
                <w:rFonts w:ascii="仿宋_GB2312" w:eastAsia="仿宋_GB2312" w:hAnsi="宋体" w:cs="宋体"/>
                <w:sz w:val="24"/>
                <w:szCs w:val="24"/>
              </w:rPr>
            </w:pPr>
          </w:p>
        </w:tc>
        <w:tc>
          <w:tcPr>
            <w:tcW w:w="0" w:type="auto"/>
            <w:vMerge/>
            <w:vAlign w:val="center"/>
            <w:hideMark/>
          </w:tcPr>
          <w:p w:rsidR="00AD4356" w:rsidRDefault="00AD4356">
            <w:pPr>
              <w:rPr>
                <w:rFonts w:ascii="仿宋_GB2312" w:eastAsia="仿宋_GB2312" w:hAnsi="宋体" w:cs="宋体"/>
                <w:sz w:val="24"/>
                <w:szCs w:val="24"/>
              </w:rPr>
            </w:pPr>
          </w:p>
        </w:tc>
        <w:tc>
          <w:tcPr>
            <w:tcW w:w="0" w:type="auto"/>
            <w:vMerge/>
            <w:vAlign w:val="center"/>
            <w:hideMark/>
          </w:tcPr>
          <w:p w:rsidR="00AD4356" w:rsidRDefault="00AD4356">
            <w:pPr>
              <w:rPr>
                <w:rFonts w:ascii="仿宋_GB2312" w:eastAsia="仿宋_GB2312" w:hAnsi="宋体" w:cs="宋体"/>
                <w:sz w:val="24"/>
                <w:szCs w:val="24"/>
              </w:rPr>
            </w:pPr>
          </w:p>
        </w:tc>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单位</w:t>
            </w:r>
          </w:p>
        </w:tc>
        <w:tc>
          <w:tcPr>
            <w:tcW w:w="0" w:type="auto"/>
            <w:vAlign w:val="center"/>
            <w:hideMark/>
          </w:tcPr>
          <w:p w:rsidR="00AD4356" w:rsidRDefault="00AD4356">
            <w:pPr>
              <w:rPr>
                <w:rFonts w:ascii="仿宋_GB2312" w:eastAsia="仿宋_GB2312" w:hAnsi="宋体" w:cs="宋体"/>
                <w:sz w:val="24"/>
                <w:szCs w:val="24"/>
              </w:rPr>
            </w:pPr>
          </w:p>
        </w:tc>
      </w:tr>
      <w:tr w:rsidR="00AD4356" w:rsidTr="00B84BDC">
        <w:trPr>
          <w:trHeight w:val="1403"/>
        </w:trPr>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lastRenderedPageBreak/>
              <w:t>产出指标</w:t>
            </w: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保障幼儿园教师工资的正常发放</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全额保障教师工资发放做到无拖欠</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工资发放方案</w:t>
            </w:r>
          </w:p>
        </w:tc>
      </w:tr>
      <w:tr w:rsidR="00AD4356" w:rsidTr="00B84BDC">
        <w:trPr>
          <w:trHeight w:val="1408"/>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保障幼儿教育的正常运转</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保障幼儿园基本运转经费的需要</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冀价行费字〔2014〕25号</w:t>
            </w:r>
          </w:p>
        </w:tc>
      </w:tr>
      <w:tr w:rsidR="00AD4356" w:rsidTr="00B84BDC">
        <w:trPr>
          <w:trHeight w:val="1131"/>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质量</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教学水平提高率</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教育理论学习，课程教材改革，符合实际，微调、有序过度的原则，达到德、智、体、美、劳全面发展。</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按《河北省幼儿园收费管理暂行办法实施细则》标准</w:t>
            </w:r>
          </w:p>
        </w:tc>
      </w:tr>
      <w:tr w:rsidR="00AD4356" w:rsidTr="00B84BDC">
        <w:trPr>
          <w:trHeight w:val="1148"/>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时效</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信息的反馈率</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设立家长意见邮箱，让家长写幼儿园意见，及时反馈及公开</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《河北省幼儿园收费管理暂行办法实施细则》              冀价行费字〔2014〕25号</w:t>
            </w:r>
          </w:p>
        </w:tc>
      </w:tr>
      <w:tr w:rsidR="00AD4356" w:rsidTr="00B84BDC">
        <w:trPr>
          <w:trHeight w:val="2025"/>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成本</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办公经费保障情况</w:t>
            </w:r>
          </w:p>
          <w:p w:rsidR="00AD4356" w:rsidRDefault="00AD4356">
            <w:pPr>
              <w:jc w:val="center"/>
              <w:rPr>
                <w:rFonts w:ascii="仿宋_GB2312" w:eastAsia="仿宋_GB2312" w:hAnsi="宋体" w:cs="宋体"/>
                <w:sz w:val="20"/>
                <w:szCs w:val="20"/>
              </w:rPr>
            </w:pPr>
            <w:r>
              <w:rPr>
                <w:rFonts w:ascii="仿宋_GB2312" w:eastAsia="仿宋_GB2312" w:hint="eastAsia"/>
                <w:sz w:val="20"/>
                <w:szCs w:val="20"/>
              </w:rPr>
              <w:t xml:space="preserve">　</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预算编制坚持“量入为出、收支平衡”的原则，考虑幼儿园事业发展建设项目的需要，坚持“收支两条线”管理原则</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《河北省幼儿园收费管理暂行办法实施细则》              冀价行费字〔2014〕25号</w:t>
            </w:r>
          </w:p>
        </w:tc>
      </w:tr>
      <w:tr w:rsidR="00AD4356" w:rsidTr="00B84BDC">
        <w:trPr>
          <w:trHeight w:val="1545"/>
        </w:trPr>
        <w:tc>
          <w:tcPr>
            <w:tcW w:w="0" w:type="auto"/>
            <w:vMerge w:val="restart"/>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社会效益</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教学活动满意度</w:t>
            </w:r>
          </w:p>
          <w:p w:rsidR="00AD4356" w:rsidRDefault="00AD4356">
            <w:pPr>
              <w:jc w:val="center"/>
              <w:rPr>
                <w:rFonts w:ascii="仿宋_GB2312" w:eastAsia="仿宋_GB2312" w:hAnsi="宋体" w:cs="宋体"/>
                <w:sz w:val="20"/>
                <w:szCs w:val="20"/>
              </w:rPr>
            </w:pPr>
            <w:r>
              <w:rPr>
                <w:rFonts w:ascii="仿宋_GB2312" w:eastAsia="仿宋_GB2312" w:hint="eastAsia"/>
                <w:sz w:val="20"/>
                <w:szCs w:val="20"/>
              </w:rPr>
              <w:t xml:space="preserve">　</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运用多由整体到局部播放动画片的人物形象，请幼儿说出人物名称；以师幼互动影响教学过程；根据教学目标、教学计划，引导主动学习并获得发展的过程</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行业标准</w:t>
            </w:r>
          </w:p>
        </w:tc>
      </w:tr>
      <w:tr w:rsidR="00AD4356" w:rsidTr="00B84BDC">
        <w:trPr>
          <w:trHeight w:val="1755"/>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经济效益</w:t>
            </w:r>
          </w:p>
        </w:tc>
        <w:tc>
          <w:tcPr>
            <w:tcW w:w="0" w:type="auto"/>
            <w:shd w:val="clear" w:color="auto" w:fill="auto"/>
            <w:vAlign w:val="center"/>
            <w:hideMark/>
          </w:tcPr>
          <w:p w:rsidR="00AD4356" w:rsidRDefault="00AD4356">
            <w:pPr>
              <w:jc w:val="center"/>
              <w:rPr>
                <w:rFonts w:ascii="宋体" w:hAnsi="宋体" w:cs="宋体"/>
                <w:sz w:val="20"/>
                <w:szCs w:val="20"/>
              </w:rPr>
            </w:pPr>
            <w:r>
              <w:rPr>
                <w:rFonts w:hint="eastAsia"/>
                <w:sz w:val="20"/>
                <w:szCs w:val="20"/>
              </w:rPr>
              <w:t>学龄前幼儿教育的普及率</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改善教育资源稀缺，提供有力保障，发挥深远社会效益，符合国家及地方教育事业政策发展的方向，达到良好的社会效益</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往年经验</w:t>
            </w:r>
          </w:p>
        </w:tc>
      </w:tr>
      <w:tr w:rsidR="00AD4356" w:rsidTr="00B84BDC">
        <w:trPr>
          <w:trHeight w:val="2220"/>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环境效益</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环境卫生达标率</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做到室内整洁、美观、所有墙面按统一规划布置不随意更改，不随意乱扔果壳等杂物，定期消毒；场地做到雨天无积水，绿化到位，教育幼儿不随意摘花草树木、加强爱护绿化教育</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按《河北省幼儿园收费管理暂行办法实施细则               冀价行费字〔2014〕25号</w:t>
            </w:r>
          </w:p>
        </w:tc>
      </w:tr>
      <w:tr w:rsidR="00AD4356" w:rsidTr="00B84BDC">
        <w:trPr>
          <w:trHeight w:val="1200"/>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可持续影响</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严格按照现行政策执行</w:t>
            </w:r>
          </w:p>
          <w:p w:rsidR="00AD4356" w:rsidRDefault="00AD4356">
            <w:pPr>
              <w:jc w:val="center"/>
              <w:rPr>
                <w:rFonts w:ascii="仿宋_GB2312" w:eastAsia="仿宋_GB2312" w:hAnsi="宋体" w:cs="宋体"/>
                <w:sz w:val="20"/>
                <w:szCs w:val="20"/>
              </w:rPr>
            </w:pPr>
            <w:r>
              <w:rPr>
                <w:rFonts w:ascii="仿宋_GB2312" w:eastAsia="仿宋_GB2312" w:hint="eastAsia"/>
                <w:sz w:val="20"/>
                <w:szCs w:val="20"/>
              </w:rPr>
              <w:t xml:space="preserve">　</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体现政策导向，长期保障工作平稳进行。</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经验标准</w:t>
            </w:r>
          </w:p>
        </w:tc>
      </w:tr>
      <w:tr w:rsidR="00AD4356" w:rsidTr="00B84BDC">
        <w:trPr>
          <w:trHeight w:val="1425"/>
        </w:trPr>
        <w:tc>
          <w:tcPr>
            <w:tcW w:w="0" w:type="auto"/>
            <w:vMerge/>
            <w:vAlign w:val="center"/>
            <w:hideMark/>
          </w:tcPr>
          <w:p w:rsidR="00AD4356" w:rsidRDefault="00AD4356">
            <w:pPr>
              <w:rPr>
                <w:rFonts w:ascii="仿宋_GB2312" w:eastAsia="仿宋_GB2312" w:hAnsi="宋体" w:cs="宋体"/>
                <w:sz w:val="24"/>
                <w:szCs w:val="24"/>
              </w:rPr>
            </w:pPr>
          </w:p>
        </w:tc>
        <w:tc>
          <w:tcPr>
            <w:tcW w:w="0" w:type="auto"/>
            <w:shd w:val="clear" w:color="auto" w:fill="auto"/>
            <w:noWrap/>
            <w:vAlign w:val="center"/>
            <w:hideMark/>
          </w:tcPr>
          <w:p w:rsidR="00AD4356" w:rsidRDefault="00AD4356">
            <w:pPr>
              <w:jc w:val="center"/>
              <w:rPr>
                <w:rFonts w:ascii="仿宋_GB2312" w:eastAsia="仿宋_GB2312" w:hAnsi="宋体" w:cs="宋体"/>
                <w:sz w:val="24"/>
                <w:szCs w:val="24"/>
              </w:rPr>
            </w:pPr>
            <w:r>
              <w:rPr>
                <w:rFonts w:ascii="仿宋_GB2312" w:eastAsia="仿宋_GB2312" w:hint="eastAsia"/>
              </w:rPr>
              <w:t>满意度</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园内生活的满意度</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幼儿在校期间，尽量让幼儿舒心，吃住达到幼儿及家长满意，做好家长问卷调查</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AD4356" w:rsidRDefault="00AD4356">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AD4356" w:rsidRDefault="00AD4356">
            <w:pPr>
              <w:rPr>
                <w:rFonts w:ascii="仿宋_GB2312" w:eastAsia="仿宋_GB2312" w:hAnsi="宋体" w:cs="宋体"/>
                <w:sz w:val="20"/>
                <w:szCs w:val="20"/>
              </w:rPr>
            </w:pPr>
            <w:r>
              <w:rPr>
                <w:rFonts w:ascii="仿宋_GB2312" w:eastAsia="仿宋_GB2312" w:hint="eastAsia"/>
                <w:sz w:val="20"/>
                <w:szCs w:val="20"/>
              </w:rPr>
              <w:t>实地走访</w:t>
            </w:r>
          </w:p>
        </w:tc>
      </w:tr>
    </w:tbl>
    <w:p w:rsidR="00D913AF" w:rsidRDefault="00D913AF" w:rsidP="00D913AF">
      <w:pPr>
        <w:jc w:val="left"/>
        <w:outlineLvl w:val="1"/>
        <w:rPr>
          <w:rFonts w:ascii="Times New Roman" w:eastAsia="仿宋_GB2312" w:hAnsi="Times New Roman" w:cs="Times New Roman"/>
          <w:sz w:val="28"/>
        </w:rPr>
      </w:pPr>
    </w:p>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Pr="006E336E">
        <w:rPr>
          <w:rFonts w:hint="eastAsia"/>
        </w:rPr>
        <w:t xml:space="preserve"> </w:t>
      </w:r>
      <w:r w:rsidR="00AD4356" w:rsidRPr="00AD4356">
        <w:rPr>
          <w:rFonts w:ascii="Times New Roman" w:eastAsia="仿宋_GB2312" w:hAnsi="Times New Roman" w:cs="Times New Roman" w:hint="eastAsia"/>
          <w:sz w:val="28"/>
        </w:rPr>
        <w:t>新桥环保科技产业园基础设施建设资金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125"/>
        <w:gridCol w:w="2845"/>
        <w:gridCol w:w="3643"/>
        <w:gridCol w:w="516"/>
        <w:gridCol w:w="616"/>
        <w:gridCol w:w="745"/>
        <w:gridCol w:w="3510"/>
      </w:tblGrid>
      <w:tr w:rsidR="00783673" w:rsidTr="00B84BDC">
        <w:trPr>
          <w:trHeight w:val="774"/>
        </w:trPr>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783673" w:rsidRDefault="00783673" w:rsidP="00783673">
            <w:pPr>
              <w:rPr>
                <w:rFonts w:ascii="仿宋_GB2312" w:eastAsia="仿宋_GB2312" w:hAnsi="宋体" w:cs="宋体"/>
                <w:sz w:val="20"/>
                <w:szCs w:val="20"/>
              </w:rPr>
            </w:pPr>
            <w:r>
              <w:rPr>
                <w:rFonts w:ascii="仿宋_GB2312" w:eastAsia="仿宋_GB2312" w:hint="eastAsia"/>
                <w:sz w:val="20"/>
                <w:szCs w:val="20"/>
              </w:rPr>
              <w:t xml:space="preserve">完成此项目库各项工程建设，满足园区发展需要                                                                                                                 </w:t>
            </w:r>
          </w:p>
        </w:tc>
      </w:tr>
      <w:tr w:rsidR="00783673" w:rsidTr="00B84BDC">
        <w:trPr>
          <w:trHeight w:val="420"/>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指标值确定依据</w:t>
            </w:r>
          </w:p>
        </w:tc>
      </w:tr>
      <w:tr w:rsidR="00783673" w:rsidTr="00B84BDC">
        <w:trPr>
          <w:trHeight w:val="345"/>
        </w:trPr>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783673" w:rsidRDefault="00783673">
            <w:pPr>
              <w:rPr>
                <w:rFonts w:ascii="仿宋_GB2312" w:eastAsia="仿宋_GB2312" w:hAnsi="宋体" w:cs="宋体"/>
                <w:sz w:val="24"/>
                <w:szCs w:val="24"/>
              </w:rPr>
            </w:pPr>
          </w:p>
        </w:tc>
      </w:tr>
      <w:tr w:rsidR="00783673" w:rsidTr="00B84BDC">
        <w:trPr>
          <w:trHeight w:val="2130"/>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园区三号路北侧便道、绿化及一号路、原三号路维修工程</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三号路拓宽后北侧便道长1600米，宽3米。挖补1750㎡，绿化3000㎡</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9550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平方米.</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文发改字【2019】73号批复                 合同</w:t>
            </w:r>
          </w:p>
        </w:tc>
      </w:tr>
      <w:tr w:rsidR="00783673" w:rsidTr="00B84BDC">
        <w:trPr>
          <w:trHeight w:val="1605"/>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园区一号路亮化提升暨三号路亮化工程</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一号路改装路灯61颗，3号路新增路灯57颗，广场高杆灯2套</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120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颗、套</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合同</w:t>
            </w:r>
          </w:p>
        </w:tc>
      </w:tr>
      <w:tr w:rsidR="00783673" w:rsidTr="00B84BDC">
        <w:trPr>
          <w:trHeight w:val="96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质量</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符合验收标准</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基础设施使用年限</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验收报告</w:t>
            </w:r>
          </w:p>
        </w:tc>
      </w:tr>
      <w:tr w:rsidR="00783673" w:rsidTr="00B84BDC">
        <w:trPr>
          <w:trHeight w:val="93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按合同验收完成</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按照合同按时而按成，无拖延</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12</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合同规定</w:t>
            </w:r>
          </w:p>
        </w:tc>
      </w:tr>
      <w:tr w:rsidR="00783673" w:rsidTr="00B84BDC">
        <w:trPr>
          <w:trHeight w:val="102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成本</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工程投资额</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按照合同价进行施工，不随市场价随意变动</w:t>
            </w:r>
          </w:p>
        </w:tc>
        <w:tc>
          <w:tcPr>
            <w:tcW w:w="0" w:type="auto"/>
            <w:shd w:val="clear" w:color="auto" w:fill="auto"/>
            <w:vAlign w:val="center"/>
            <w:hideMark/>
          </w:tcPr>
          <w:p w:rsidR="00783673" w:rsidRDefault="00783673">
            <w:pPr>
              <w:rPr>
                <w:rFonts w:ascii="宋体" w:hAnsi="宋体" w:cs="宋体"/>
                <w:sz w:val="20"/>
                <w:szCs w:val="20"/>
              </w:rPr>
            </w:pPr>
            <w:r>
              <w:rPr>
                <w:rFonts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万元</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 xml:space="preserve">                     工程审核定案表                   竣工项目审查</w:t>
            </w:r>
          </w:p>
        </w:tc>
      </w:tr>
      <w:tr w:rsidR="00783673" w:rsidTr="00B84BDC">
        <w:trPr>
          <w:trHeight w:val="1185"/>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社会效益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通过此项基础设施建设改善人居环境</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改善整体环境，方便群众出行</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实施计划</w:t>
            </w:r>
          </w:p>
        </w:tc>
      </w:tr>
      <w:tr w:rsidR="00783673" w:rsidTr="00B84BDC">
        <w:trPr>
          <w:trHeight w:val="942"/>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经济效益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通过此项基础设施建设，促进招商引资</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吸引更多投资者，促进园区发展</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竣工项目审查</w:t>
            </w:r>
          </w:p>
        </w:tc>
      </w:tr>
      <w:tr w:rsidR="00783673" w:rsidTr="00B84BDC">
        <w:trPr>
          <w:trHeight w:val="120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环境效益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通过此项基础设施建设，改善交通环境，提升区域环境。</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改善整体环境，方便群众出行</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新桥环保科技产业园请示                           批复</w:t>
            </w:r>
          </w:p>
        </w:tc>
      </w:tr>
      <w:tr w:rsidR="00783673" w:rsidTr="00B84BDC">
        <w:trPr>
          <w:trHeight w:val="108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可持续影响</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项目运行完好度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体现政策导向，长期保障工作平稳进行。</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宋体" w:hAnsi="宋体" w:cs="宋体"/>
                <w:color w:val="000000"/>
                <w:sz w:val="20"/>
                <w:szCs w:val="20"/>
              </w:rPr>
            </w:pPr>
            <w:r>
              <w:rPr>
                <w:rFonts w:hint="eastAsia"/>
                <w:color w:val="000000"/>
                <w:sz w:val="20"/>
                <w:szCs w:val="20"/>
              </w:rPr>
              <w:t>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年</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 xml:space="preserve">合同规定             验收报告                     </w:t>
            </w:r>
          </w:p>
        </w:tc>
      </w:tr>
      <w:tr w:rsidR="00783673" w:rsidTr="00B84BDC">
        <w:trPr>
          <w:trHeight w:val="96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群众满意度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对周边环境调查问卷满意度</w:t>
            </w:r>
          </w:p>
        </w:tc>
        <w:tc>
          <w:tcPr>
            <w:tcW w:w="0" w:type="auto"/>
            <w:shd w:val="clear" w:color="auto" w:fill="auto"/>
            <w:vAlign w:val="center"/>
            <w:hideMark/>
          </w:tcPr>
          <w:p w:rsidR="00783673" w:rsidRDefault="00783673">
            <w:pPr>
              <w:rPr>
                <w:rFonts w:ascii="宋体" w:hAnsi="宋体" w:cs="宋体"/>
                <w:sz w:val="20"/>
                <w:szCs w:val="20"/>
              </w:rPr>
            </w:pPr>
            <w:r>
              <w:rPr>
                <w:rFonts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经验标准</w:t>
            </w:r>
          </w:p>
        </w:tc>
      </w:tr>
    </w:tbl>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3</w:t>
      </w:r>
      <w:r>
        <w:rPr>
          <w:rFonts w:ascii="Times New Roman" w:eastAsia="仿宋_GB2312" w:hAnsi="Times New Roman" w:cs="Times New Roman"/>
          <w:sz w:val="28"/>
        </w:rPr>
        <w:t>.</w:t>
      </w:r>
      <w:r w:rsidRPr="00B03CDB">
        <w:rPr>
          <w:rFonts w:hint="eastAsia"/>
        </w:rPr>
        <w:t xml:space="preserve"> </w:t>
      </w:r>
      <w:r w:rsidR="00783673" w:rsidRPr="00783673">
        <w:rPr>
          <w:rFonts w:ascii="Times New Roman" w:eastAsia="仿宋_GB2312" w:hAnsi="Times New Roman" w:cs="Times New Roman" w:hint="eastAsia"/>
          <w:sz w:val="28"/>
        </w:rPr>
        <w:t>新桥环保科技产业园城市基础设施配套建设资金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097"/>
        <w:gridCol w:w="2275"/>
        <w:gridCol w:w="5455"/>
        <w:gridCol w:w="480"/>
        <w:gridCol w:w="516"/>
        <w:gridCol w:w="526"/>
        <w:gridCol w:w="2693"/>
      </w:tblGrid>
      <w:tr w:rsidR="00783673" w:rsidTr="00B84BDC">
        <w:trPr>
          <w:trHeight w:val="1058"/>
        </w:trPr>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通过项目的开展完成规范城市基础设施配套费收支，实现建立全面规范、公开透明的资金管理制度。</w:t>
            </w:r>
          </w:p>
        </w:tc>
      </w:tr>
      <w:tr w:rsidR="00783673" w:rsidTr="00B84BDC">
        <w:trPr>
          <w:trHeight w:val="420"/>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指标值确定依据</w:t>
            </w:r>
          </w:p>
        </w:tc>
      </w:tr>
      <w:tr w:rsidR="00783673" w:rsidTr="00B84BDC">
        <w:trPr>
          <w:trHeight w:val="345"/>
        </w:trPr>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783673" w:rsidRDefault="00783673">
            <w:pPr>
              <w:rPr>
                <w:rFonts w:ascii="仿宋_GB2312" w:eastAsia="仿宋_GB2312" w:hAnsi="宋体" w:cs="宋体"/>
                <w:sz w:val="24"/>
                <w:szCs w:val="24"/>
              </w:rPr>
            </w:pPr>
          </w:p>
        </w:tc>
      </w:tr>
      <w:tr w:rsidR="00783673" w:rsidTr="00B84BDC">
        <w:trPr>
          <w:trHeight w:val="1485"/>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公共基础设施建设情况</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用于园区公共设施建设、城市环境卫生建设等,维护镇区内道路，做好供排水，保障资金正常使用</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文政办〔2019〕4号文件规定中，关于“文安县城市基础设施配套费收支管理办法”</w:t>
            </w:r>
          </w:p>
        </w:tc>
      </w:tr>
      <w:tr w:rsidR="00783673" w:rsidTr="00B84BDC">
        <w:trPr>
          <w:trHeight w:val="105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改善整体园区环境，保障运行顺畅</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保障资金到位，不拖欠施工方费用</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按预算编制、历史数据</w:t>
            </w:r>
          </w:p>
        </w:tc>
      </w:tr>
      <w:tr w:rsidR="00783673" w:rsidTr="00B84BDC">
        <w:trPr>
          <w:trHeight w:val="96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质量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保障本单位公共设施维护、建设和管理</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严格按照城市建设配套费的管理办法，加强对配套费征收、使用的监督检查</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按产品合格标准</w:t>
            </w:r>
          </w:p>
        </w:tc>
      </w:tr>
      <w:tr w:rsidR="00783673" w:rsidTr="00B84BDC">
        <w:trPr>
          <w:trHeight w:val="153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实行专款专用，保证配套费及时入库</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严格按照”收支两条线“管理，通过非税收入管理系统及时缴入国库，将收入纳入地方国库，纳入政府基金预算，实行专款专用</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12</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按文政办〔2019〕4号文的规定</w:t>
            </w:r>
          </w:p>
        </w:tc>
      </w:tr>
      <w:tr w:rsidR="00783673" w:rsidTr="00B84BDC">
        <w:trPr>
          <w:trHeight w:val="150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成本</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各项收支及时上缴国库，互相配合，建立联动机制</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建设联动机制，加强对配套的管理，使用的监督检查，按照规划部门《建设工程规划许可证》标注的建筑面积缴纳配套费。做到尽收尽支，及时入库</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按规划部门《建设工程规划许可证》标注的建筑面积缴纳配套费</w:t>
            </w:r>
          </w:p>
        </w:tc>
      </w:tr>
      <w:tr w:rsidR="00783673" w:rsidTr="00B84BDC">
        <w:trPr>
          <w:trHeight w:val="1185"/>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社会效益</w:t>
            </w:r>
          </w:p>
        </w:tc>
        <w:tc>
          <w:tcPr>
            <w:tcW w:w="0" w:type="auto"/>
            <w:shd w:val="clear" w:color="auto" w:fill="auto"/>
            <w:vAlign w:val="center"/>
            <w:hideMark/>
          </w:tcPr>
          <w:p w:rsidR="00783673" w:rsidRDefault="00783673">
            <w:pPr>
              <w:jc w:val="center"/>
              <w:rPr>
                <w:rFonts w:ascii="宋体" w:hAnsi="宋体" w:cs="宋体"/>
                <w:sz w:val="20"/>
                <w:szCs w:val="20"/>
              </w:rPr>
            </w:pPr>
            <w:r w:rsidRPr="00783673">
              <w:rPr>
                <w:rFonts w:ascii="仿宋_GB2312" w:eastAsia="仿宋_GB2312" w:hint="eastAsia"/>
                <w:sz w:val="20"/>
                <w:szCs w:val="20"/>
              </w:rPr>
              <w:t>公共基础设施建设情况</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及时修缮和维护公共设施，保障正常使用；街道干净整齐，公共设施、基础设施完备。</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实施计划</w:t>
            </w:r>
          </w:p>
        </w:tc>
      </w:tr>
      <w:tr w:rsidR="00783673" w:rsidTr="00B84BDC">
        <w:trPr>
          <w:trHeight w:val="1455"/>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经济效益</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按照城市总体规划要求，修缮公有房屋，道路维护，清理垃圾。</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在城市规划和建设中，树立经济行为理念。城市建设本身就是一个投入建设，有助于提高城市规划，达到环境美化</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验收标准</w:t>
            </w:r>
          </w:p>
        </w:tc>
      </w:tr>
      <w:tr w:rsidR="00783673" w:rsidTr="00B84BDC">
        <w:trPr>
          <w:trHeight w:val="1845"/>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环境效益</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园区环境状况</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指导农村住房建设、住房安全和危房改造；改善管区和村庄人居环境；指导全区街道绿化建设；加强生态村建设；指导全区公用设施安全和应急管理。指导城市市容环境治理，改善人居环境。</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实施计划           验收标准</w:t>
            </w:r>
          </w:p>
        </w:tc>
      </w:tr>
      <w:tr w:rsidR="00783673" w:rsidTr="00B84BDC">
        <w:trPr>
          <w:trHeight w:val="108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可持续影响</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严格按照现行政策执行</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体现政策导向，长期保障工作平稳进行。</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实施计划</w:t>
            </w:r>
          </w:p>
        </w:tc>
      </w:tr>
      <w:tr w:rsidR="00783673" w:rsidTr="00B84BDC">
        <w:trPr>
          <w:trHeight w:val="1185"/>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人民群众对项目实施情况满意度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通过项目的实施，力争让园区对项目实施的满意度达到90%以上。</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98</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实地走访</w:t>
            </w:r>
          </w:p>
        </w:tc>
      </w:tr>
    </w:tbl>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4</w:t>
      </w:r>
      <w:r>
        <w:rPr>
          <w:rFonts w:ascii="Times New Roman" w:eastAsia="仿宋_GB2312" w:hAnsi="Times New Roman" w:cs="Times New Roman"/>
          <w:sz w:val="28"/>
        </w:rPr>
        <w:t>.</w:t>
      </w:r>
      <w:r w:rsidRPr="00E67F28">
        <w:rPr>
          <w:rFonts w:hint="eastAsia"/>
        </w:rPr>
        <w:t xml:space="preserve"> </w:t>
      </w:r>
      <w:r w:rsidR="00783673" w:rsidRPr="00783673">
        <w:rPr>
          <w:rFonts w:ascii="Times New Roman" w:eastAsia="仿宋_GB2312" w:hAnsi="Times New Roman" w:cs="Times New Roman" w:hint="eastAsia"/>
          <w:sz w:val="28"/>
        </w:rPr>
        <w:t>文安经济开发区民兵训练基地升级改造项目资金</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102"/>
        <w:gridCol w:w="2279"/>
        <w:gridCol w:w="3810"/>
        <w:gridCol w:w="488"/>
        <w:gridCol w:w="1016"/>
        <w:gridCol w:w="541"/>
        <w:gridCol w:w="3764"/>
      </w:tblGrid>
      <w:tr w:rsidR="00783673" w:rsidTr="00B84BDC">
        <w:trPr>
          <w:trHeight w:val="495"/>
        </w:trPr>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783673" w:rsidRDefault="00783673" w:rsidP="00783673">
            <w:pPr>
              <w:rPr>
                <w:rFonts w:ascii="仿宋_GB2312" w:eastAsia="仿宋_GB2312" w:hAnsi="宋体" w:cs="宋体"/>
                <w:sz w:val="20"/>
                <w:szCs w:val="20"/>
              </w:rPr>
            </w:pPr>
            <w:r>
              <w:rPr>
                <w:rFonts w:ascii="仿宋_GB2312" w:eastAsia="仿宋_GB2312" w:hint="eastAsia"/>
                <w:sz w:val="20"/>
                <w:szCs w:val="20"/>
              </w:rPr>
              <w:t xml:space="preserve">1、改善文安县民兵训练基地升级改造，提供良好训练环境，保证民兵训练生活环境                                                                                                                                          </w:t>
            </w:r>
          </w:p>
        </w:tc>
      </w:tr>
      <w:tr w:rsidR="00783673" w:rsidTr="00B84BDC">
        <w:trPr>
          <w:trHeight w:val="420"/>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指标值确定依据</w:t>
            </w:r>
          </w:p>
        </w:tc>
      </w:tr>
      <w:tr w:rsidR="00921022" w:rsidTr="00B84BDC">
        <w:trPr>
          <w:trHeight w:val="345"/>
        </w:trPr>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783673" w:rsidRDefault="00783673">
            <w:pPr>
              <w:rPr>
                <w:rFonts w:ascii="仿宋_GB2312" w:eastAsia="仿宋_GB2312" w:hAnsi="宋体" w:cs="宋体"/>
                <w:sz w:val="24"/>
                <w:szCs w:val="24"/>
              </w:rPr>
            </w:pPr>
          </w:p>
        </w:tc>
      </w:tr>
      <w:tr w:rsidR="00921022" w:rsidTr="00B84BDC">
        <w:trPr>
          <w:trHeight w:val="1470"/>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新建餐厅规模</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餐厅分为上下两层，上下共1000平米，保证容纳人数</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平方米</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文发改字【2020】113号批复                 合同</w:t>
            </w:r>
          </w:p>
        </w:tc>
      </w:tr>
      <w:tr w:rsidR="00921022" w:rsidTr="00B84BDC">
        <w:trPr>
          <w:trHeight w:val="1264"/>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训练场地规划</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军事训练场地、专业技术训练场地、共同科目训练场地，外墙粉刷1846.88平米，内墙粉刷1281.88平米</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29280.5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平方米</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文发改字【2020】113号批复                 合同</w:t>
            </w:r>
          </w:p>
        </w:tc>
      </w:tr>
      <w:tr w:rsidR="00921022" w:rsidTr="00B84BDC">
        <w:trPr>
          <w:trHeight w:val="96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质量</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符合验收标准</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基础设施使用年限</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中标通知书、申请核准表</w:t>
            </w:r>
          </w:p>
        </w:tc>
      </w:tr>
      <w:tr w:rsidR="00921022" w:rsidTr="00B84BDC">
        <w:trPr>
          <w:trHeight w:val="93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按合同验收完成</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按照合同按时而按成，无拖延</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12</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合同规定</w:t>
            </w:r>
          </w:p>
        </w:tc>
      </w:tr>
      <w:tr w:rsidR="00921022" w:rsidTr="00B84BDC">
        <w:trPr>
          <w:trHeight w:val="102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成本</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工程投资额</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按照合同价进行施工，不随市场价随意变动</w:t>
            </w:r>
          </w:p>
        </w:tc>
        <w:tc>
          <w:tcPr>
            <w:tcW w:w="0" w:type="auto"/>
            <w:shd w:val="clear" w:color="auto" w:fill="auto"/>
            <w:vAlign w:val="center"/>
            <w:hideMark/>
          </w:tcPr>
          <w:p w:rsidR="00783673" w:rsidRDefault="00783673">
            <w:pPr>
              <w:rPr>
                <w:rFonts w:ascii="宋体" w:hAnsi="宋体" w:cs="宋体"/>
                <w:sz w:val="20"/>
                <w:szCs w:val="20"/>
              </w:rPr>
            </w:pPr>
            <w:r>
              <w:rPr>
                <w:rFonts w:hint="eastAsia"/>
                <w:sz w:val="20"/>
                <w:szCs w:val="20"/>
              </w:rPr>
              <w:t>≥</w:t>
            </w:r>
          </w:p>
        </w:tc>
        <w:tc>
          <w:tcPr>
            <w:tcW w:w="0" w:type="auto"/>
            <w:shd w:val="clear" w:color="auto" w:fill="auto"/>
            <w:vAlign w:val="center"/>
            <w:hideMark/>
          </w:tcPr>
          <w:p w:rsidR="00783673" w:rsidRDefault="00B84BDC">
            <w:pPr>
              <w:jc w:val="center"/>
              <w:rPr>
                <w:rFonts w:ascii="仿宋_GB2312" w:eastAsia="仿宋_GB2312" w:hAnsi="宋体" w:cs="宋体"/>
                <w:sz w:val="20"/>
                <w:szCs w:val="20"/>
              </w:rPr>
            </w:pPr>
            <w:r>
              <w:rPr>
                <w:rFonts w:ascii="仿宋_GB2312" w:eastAsia="仿宋_GB2312" w:hint="eastAsia"/>
                <w:sz w:val="20"/>
                <w:szCs w:val="20"/>
              </w:rPr>
              <w:t>4</w:t>
            </w:r>
            <w:r w:rsidR="00783673">
              <w:rPr>
                <w:rFonts w:ascii="仿宋_GB2312" w:eastAsia="仿宋_GB2312" w:hint="eastAsia"/>
                <w:sz w:val="20"/>
                <w:szCs w:val="20"/>
              </w:rPr>
              <w:t>06.0883</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万元</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 xml:space="preserve">                     中标通知书         政府采购计划备案表                   竣工项目审查</w:t>
            </w:r>
          </w:p>
        </w:tc>
      </w:tr>
      <w:tr w:rsidR="00921022" w:rsidTr="00B84BDC">
        <w:trPr>
          <w:trHeight w:val="1185"/>
        </w:trPr>
        <w:tc>
          <w:tcPr>
            <w:tcW w:w="0" w:type="auto"/>
            <w:vMerge w:val="restart"/>
            <w:shd w:val="clear" w:color="auto" w:fill="auto"/>
            <w:noWrap/>
            <w:vAlign w:val="center"/>
            <w:hideMark/>
          </w:tcPr>
          <w:p w:rsidR="00783673" w:rsidRDefault="00783673">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社会效益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通过此项基础设施建设改善民兵训练生活环境</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改善整体环境，有效保证训练整体进行</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文发改字【2020】113号批复                 合同</w:t>
            </w:r>
          </w:p>
        </w:tc>
      </w:tr>
      <w:tr w:rsidR="00921022" w:rsidTr="00B84BDC">
        <w:trPr>
          <w:trHeight w:val="942"/>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经济效益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通过此项基础设施建设，促进招商引资</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吸引更多投资者，促进园区发展</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竣工项目审查</w:t>
            </w:r>
          </w:p>
        </w:tc>
      </w:tr>
      <w:tr w:rsidR="00921022" w:rsidTr="00B84BDC">
        <w:trPr>
          <w:trHeight w:val="120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环境效益</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通过此项基础设施建设，改善交通环境，提升区域环境。</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改善整体环境，营造整体训练基地环境的提升</w:t>
            </w:r>
          </w:p>
        </w:tc>
        <w:tc>
          <w:tcPr>
            <w:tcW w:w="0" w:type="auto"/>
            <w:shd w:val="clear" w:color="auto" w:fill="auto"/>
            <w:vAlign w:val="center"/>
            <w:hideMark/>
          </w:tcPr>
          <w:p w:rsidR="00783673" w:rsidRDefault="00783673">
            <w:pPr>
              <w:rPr>
                <w:rFonts w:ascii="Arial" w:hAnsi="Arial"/>
                <w:sz w:val="20"/>
                <w:szCs w:val="20"/>
              </w:rPr>
            </w:pPr>
            <w:r>
              <w:rPr>
                <w:rFonts w:ascii="Arial" w:hAnsi="Arial"/>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河北文安经济开发区管理委员会请示                           批复                 文发改字【2020】113号</w:t>
            </w:r>
          </w:p>
        </w:tc>
      </w:tr>
      <w:tr w:rsidR="00921022" w:rsidTr="00B84BDC">
        <w:trPr>
          <w:trHeight w:val="108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可持续影响</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项目运行完好度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体现政策导向，长期保障工作平稳进行。</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783673" w:rsidRDefault="00783673">
            <w:pPr>
              <w:jc w:val="center"/>
              <w:rPr>
                <w:rFonts w:ascii="宋体" w:hAnsi="宋体" w:cs="宋体"/>
                <w:color w:val="000000"/>
                <w:sz w:val="20"/>
                <w:szCs w:val="20"/>
              </w:rPr>
            </w:pPr>
            <w:r>
              <w:rPr>
                <w:rFonts w:hint="eastAsia"/>
                <w:color w:val="000000"/>
                <w:sz w:val="20"/>
                <w:szCs w:val="20"/>
              </w:rPr>
              <w:t>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年</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 xml:space="preserve">合同规定             验收报告                     </w:t>
            </w:r>
          </w:p>
        </w:tc>
      </w:tr>
      <w:tr w:rsidR="00921022" w:rsidTr="00B84BDC">
        <w:trPr>
          <w:trHeight w:val="960"/>
        </w:trPr>
        <w:tc>
          <w:tcPr>
            <w:tcW w:w="0" w:type="auto"/>
            <w:vMerge/>
            <w:vAlign w:val="center"/>
            <w:hideMark/>
          </w:tcPr>
          <w:p w:rsidR="00783673" w:rsidRDefault="00783673">
            <w:pPr>
              <w:rPr>
                <w:rFonts w:ascii="仿宋_GB2312" w:eastAsia="仿宋_GB2312" w:hAnsi="宋体" w:cs="宋体"/>
                <w:sz w:val="24"/>
                <w:szCs w:val="24"/>
              </w:rPr>
            </w:pP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群众满意度</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对民兵训练生活环境调查问卷满意度</w:t>
            </w:r>
          </w:p>
        </w:tc>
        <w:tc>
          <w:tcPr>
            <w:tcW w:w="0" w:type="auto"/>
            <w:shd w:val="clear" w:color="auto" w:fill="auto"/>
            <w:vAlign w:val="center"/>
            <w:hideMark/>
          </w:tcPr>
          <w:p w:rsidR="00783673" w:rsidRDefault="00783673">
            <w:pPr>
              <w:rPr>
                <w:rFonts w:ascii="宋体" w:hAnsi="宋体" w:cs="宋体"/>
                <w:sz w:val="20"/>
                <w:szCs w:val="20"/>
              </w:rPr>
            </w:pPr>
            <w:r>
              <w:rPr>
                <w:rFonts w:hint="eastAsia"/>
                <w:sz w:val="20"/>
                <w:szCs w:val="20"/>
              </w:rPr>
              <w:t>≥</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783673" w:rsidRDefault="00783673">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783673" w:rsidRDefault="00783673">
            <w:pPr>
              <w:rPr>
                <w:rFonts w:ascii="仿宋_GB2312" w:eastAsia="仿宋_GB2312" w:hAnsi="宋体" w:cs="宋体"/>
                <w:sz w:val="20"/>
                <w:szCs w:val="20"/>
              </w:rPr>
            </w:pPr>
            <w:r>
              <w:rPr>
                <w:rFonts w:ascii="仿宋_GB2312" w:eastAsia="仿宋_GB2312" w:hint="eastAsia"/>
                <w:sz w:val="20"/>
                <w:szCs w:val="20"/>
              </w:rPr>
              <w:t>经验标准</w:t>
            </w:r>
          </w:p>
        </w:tc>
      </w:tr>
    </w:tbl>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5</w:t>
      </w:r>
      <w:r>
        <w:rPr>
          <w:rFonts w:ascii="Times New Roman" w:eastAsia="仿宋_GB2312" w:hAnsi="Times New Roman" w:cs="Times New Roman"/>
          <w:sz w:val="28"/>
        </w:rPr>
        <w:t>.</w:t>
      </w:r>
      <w:r w:rsidR="00921022" w:rsidRPr="00921022">
        <w:rPr>
          <w:rFonts w:hint="eastAsia"/>
        </w:rPr>
        <w:t xml:space="preserve"> </w:t>
      </w:r>
      <w:r w:rsidR="00921022" w:rsidRPr="00921022">
        <w:rPr>
          <w:rFonts w:ascii="Times New Roman" w:eastAsia="仿宋_GB2312" w:hAnsi="Times New Roman" w:cs="Times New Roman" w:hint="eastAsia"/>
          <w:sz w:val="28"/>
        </w:rPr>
        <w:t>廊泊线新桥段综合整治排水工程</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1088"/>
        <w:gridCol w:w="2012"/>
        <w:gridCol w:w="6496"/>
        <w:gridCol w:w="468"/>
        <w:gridCol w:w="626"/>
        <w:gridCol w:w="390"/>
        <w:gridCol w:w="496"/>
        <w:gridCol w:w="1468"/>
      </w:tblGrid>
      <w:tr w:rsidR="00921022" w:rsidTr="00B84BDC">
        <w:trPr>
          <w:trHeight w:val="645"/>
        </w:trPr>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8"/>
            <w:shd w:val="clear" w:color="auto" w:fill="auto"/>
            <w:vAlign w:val="center"/>
            <w:hideMark/>
          </w:tcPr>
          <w:p w:rsidR="00921022" w:rsidRDefault="00921022" w:rsidP="00921022">
            <w:pPr>
              <w:rPr>
                <w:rFonts w:ascii="仿宋_GB2312" w:eastAsia="仿宋_GB2312" w:hAnsi="宋体" w:cs="宋体"/>
                <w:sz w:val="20"/>
                <w:szCs w:val="20"/>
              </w:rPr>
            </w:pPr>
            <w:r>
              <w:rPr>
                <w:rFonts w:ascii="仿宋_GB2312" w:eastAsia="仿宋_GB2312" w:hint="eastAsia"/>
                <w:sz w:val="20"/>
                <w:szCs w:val="20"/>
              </w:rPr>
              <w:t xml:space="preserve">1、完成廊泊线新桥塅综合整治排水工程，优化廊泊线文安段路域环境，提高综合服务水平。                                                                                                                                </w:t>
            </w:r>
          </w:p>
        </w:tc>
      </w:tr>
      <w:tr w:rsidR="00921022" w:rsidTr="00B84BDC">
        <w:trPr>
          <w:trHeight w:val="420"/>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4"/>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指标值确定依据</w:t>
            </w:r>
          </w:p>
        </w:tc>
      </w:tr>
      <w:tr w:rsidR="00921022" w:rsidTr="00B84BDC">
        <w:trPr>
          <w:trHeight w:val="345"/>
        </w:trPr>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值</w:t>
            </w:r>
          </w:p>
        </w:tc>
        <w:tc>
          <w:tcPr>
            <w:tcW w:w="0" w:type="auto"/>
            <w:gridSpan w:val="2"/>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921022" w:rsidRDefault="00921022">
            <w:pPr>
              <w:rPr>
                <w:rFonts w:ascii="仿宋_GB2312" w:eastAsia="仿宋_GB2312" w:hAnsi="宋体" w:cs="宋体"/>
                <w:sz w:val="24"/>
                <w:szCs w:val="24"/>
              </w:rPr>
            </w:pPr>
          </w:p>
        </w:tc>
      </w:tr>
      <w:tr w:rsidR="00921022" w:rsidTr="00B84BDC">
        <w:trPr>
          <w:trHeight w:val="3529"/>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确保工程数量达标，促进整体美化。修建排水沟渠2条</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K65+100-k65+600段右侧新建排水方沟，同时増设过路管涵。K66+600-K67+200般双侧设置雨水排水管道D800，平均每50m设一套雨水口和检查井设施。K66+600-k67+200段双设置挡墙，全长1120m并对该段路肩进行硬化。同时对道口进行恢复(结构为:15cm石灰稳定土+24cm水泥混凝土）</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1120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米</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文政办【2014】32号文件    合同</w:t>
            </w:r>
          </w:p>
        </w:tc>
      </w:tr>
      <w:tr w:rsidR="00921022" w:rsidTr="00B84BDC">
        <w:trPr>
          <w:trHeight w:val="1185"/>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保证整体运行顺畅，所需工程用品实施到位</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项目实施所需用品到位，改善城区整体环境，保障排水顺畅。</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文政办【2014】32号文件    合同</w:t>
            </w:r>
          </w:p>
        </w:tc>
      </w:tr>
      <w:tr w:rsidR="00921022" w:rsidTr="00B84BDC">
        <w:trPr>
          <w:trHeight w:val="793"/>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质量</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符合验收标准</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廊泊线新桥段增加排水工程使用年限</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年</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验收报告</w:t>
            </w:r>
          </w:p>
        </w:tc>
      </w:tr>
      <w:tr w:rsidR="00921022" w:rsidTr="00B84BDC">
        <w:trPr>
          <w:trHeight w:val="923"/>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按合同验收完成</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按照合同价进行施工，不随市场价随意变动</w:t>
            </w:r>
          </w:p>
        </w:tc>
        <w:tc>
          <w:tcPr>
            <w:tcW w:w="0" w:type="auto"/>
            <w:shd w:val="clear" w:color="auto" w:fill="auto"/>
            <w:vAlign w:val="center"/>
            <w:hideMark/>
          </w:tcPr>
          <w:p w:rsidR="00921022" w:rsidRDefault="00921022">
            <w:pPr>
              <w:rPr>
                <w:rFonts w:ascii="宋体" w:hAnsi="宋体" w:cs="宋体"/>
                <w:sz w:val="20"/>
                <w:szCs w:val="20"/>
              </w:rPr>
            </w:pPr>
            <w:r>
              <w:rPr>
                <w:rFonts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12</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合同规定</w:t>
            </w:r>
          </w:p>
        </w:tc>
      </w:tr>
      <w:tr w:rsidR="00921022" w:rsidTr="00B84BDC">
        <w:trPr>
          <w:trHeight w:val="74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成本</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工程投资额</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按照审计决算价付剩余款项，不得改动</w:t>
            </w:r>
          </w:p>
        </w:tc>
        <w:tc>
          <w:tcPr>
            <w:tcW w:w="0" w:type="auto"/>
            <w:shd w:val="clear" w:color="auto" w:fill="auto"/>
            <w:vAlign w:val="center"/>
            <w:hideMark/>
          </w:tcPr>
          <w:p w:rsidR="00921022" w:rsidRDefault="00921022">
            <w:pPr>
              <w:rPr>
                <w:rFonts w:ascii="宋体" w:hAnsi="宋体" w:cs="宋体"/>
                <w:sz w:val="20"/>
                <w:szCs w:val="20"/>
              </w:rPr>
            </w:pPr>
            <w:r>
              <w:rPr>
                <w:rFonts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88.66368</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万元</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文政办【2014】32号文件    合同</w:t>
            </w:r>
          </w:p>
        </w:tc>
      </w:tr>
      <w:tr w:rsidR="00921022" w:rsidTr="00B84BDC">
        <w:trPr>
          <w:trHeight w:val="1185"/>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社会效益</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通过对廊泊线整体环境的提升，改善人居环境</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改善整体环境，方便群众出行</w:t>
            </w:r>
          </w:p>
        </w:tc>
        <w:tc>
          <w:tcPr>
            <w:tcW w:w="0" w:type="auto"/>
            <w:shd w:val="clear" w:color="auto" w:fill="auto"/>
            <w:vAlign w:val="center"/>
            <w:hideMark/>
          </w:tcPr>
          <w:p w:rsidR="00921022" w:rsidRDefault="00921022">
            <w:pPr>
              <w:rPr>
                <w:rFonts w:ascii="Arial" w:hAnsi="Arial"/>
                <w:sz w:val="20"/>
                <w:szCs w:val="20"/>
              </w:rPr>
            </w:pPr>
            <w:r>
              <w:rPr>
                <w:rFonts w:ascii="Arial" w:hAnsi="Arial"/>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实施计划</w:t>
            </w:r>
          </w:p>
        </w:tc>
      </w:tr>
      <w:tr w:rsidR="00921022" w:rsidTr="00B84BDC">
        <w:trPr>
          <w:trHeight w:val="1155"/>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经济效益</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通过对廊泊线整体环境的提升，促进招商引资</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吸引更多投资者，促进园区发展</w:t>
            </w:r>
          </w:p>
        </w:tc>
        <w:tc>
          <w:tcPr>
            <w:tcW w:w="0" w:type="auto"/>
            <w:shd w:val="clear" w:color="auto" w:fill="auto"/>
            <w:vAlign w:val="center"/>
            <w:hideMark/>
          </w:tcPr>
          <w:p w:rsidR="00921022" w:rsidRDefault="00921022">
            <w:pPr>
              <w:rPr>
                <w:rFonts w:ascii="Arial" w:hAnsi="Arial"/>
                <w:sz w:val="20"/>
                <w:szCs w:val="20"/>
              </w:rPr>
            </w:pPr>
            <w:r>
              <w:rPr>
                <w:rFonts w:ascii="Arial" w:hAnsi="Arial"/>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工程质量评定表</w:t>
            </w:r>
          </w:p>
        </w:tc>
      </w:tr>
      <w:tr w:rsidR="00921022" w:rsidTr="00B84BDC">
        <w:trPr>
          <w:trHeight w:val="1200"/>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环境效益</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通过对廊泊线整体环境的提升，改善交通环境，提升区域环境。</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改善整体环境，方便群众出行</w:t>
            </w:r>
          </w:p>
        </w:tc>
        <w:tc>
          <w:tcPr>
            <w:tcW w:w="0" w:type="auto"/>
            <w:shd w:val="clear" w:color="auto" w:fill="auto"/>
            <w:vAlign w:val="center"/>
            <w:hideMark/>
          </w:tcPr>
          <w:p w:rsidR="00921022" w:rsidRDefault="00921022">
            <w:pPr>
              <w:rPr>
                <w:rFonts w:ascii="Arial" w:hAnsi="Arial"/>
                <w:sz w:val="20"/>
                <w:szCs w:val="20"/>
              </w:rPr>
            </w:pPr>
            <w:r>
              <w:rPr>
                <w:rFonts w:ascii="Arial" w:hAnsi="Arial"/>
                <w:sz w:val="20"/>
                <w:szCs w:val="20"/>
              </w:rPr>
              <w:t>═</w:t>
            </w:r>
          </w:p>
        </w:tc>
        <w:tc>
          <w:tcPr>
            <w:tcW w:w="0" w:type="auto"/>
            <w:gridSpan w:val="2"/>
            <w:shd w:val="clear" w:color="auto" w:fill="auto"/>
            <w:vAlign w:val="center"/>
            <w:hideMark/>
          </w:tcPr>
          <w:p w:rsidR="00921022" w:rsidRDefault="00921022">
            <w:pPr>
              <w:jc w:val="center"/>
              <w:rPr>
                <w:rFonts w:ascii="宋体" w:hAnsi="宋体" w:cs="宋体"/>
                <w:color w:val="000000"/>
                <w:sz w:val="20"/>
                <w:szCs w:val="20"/>
              </w:rPr>
            </w:pPr>
            <w:r>
              <w:rPr>
                <w:rFonts w:hint="eastAsia"/>
                <w:color w:val="000000"/>
                <w:sz w:val="20"/>
                <w:szCs w:val="20"/>
              </w:rPr>
              <w:t>100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≥100%</w:t>
            </w:r>
          </w:p>
        </w:tc>
      </w:tr>
      <w:tr w:rsidR="00921022" w:rsidTr="00B84BDC">
        <w:trPr>
          <w:trHeight w:val="1080"/>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可持续影响</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项目运行完好度</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体现政策导向，长期保障工作平稳进行。</w:t>
            </w:r>
          </w:p>
        </w:tc>
        <w:tc>
          <w:tcPr>
            <w:tcW w:w="0" w:type="auto"/>
            <w:shd w:val="clear" w:color="auto" w:fill="auto"/>
            <w:vAlign w:val="center"/>
            <w:hideMark/>
          </w:tcPr>
          <w:p w:rsidR="00921022" w:rsidRDefault="00921022">
            <w:pPr>
              <w:rPr>
                <w:rFonts w:ascii="宋体" w:hAnsi="宋体" w:cs="宋体"/>
                <w:sz w:val="20"/>
                <w:szCs w:val="20"/>
              </w:rPr>
            </w:pPr>
            <w:r>
              <w:rPr>
                <w:rFonts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年</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实施计划</w:t>
            </w:r>
          </w:p>
        </w:tc>
      </w:tr>
      <w:tr w:rsidR="00921022" w:rsidTr="00B84BDC">
        <w:trPr>
          <w:trHeight w:val="1170"/>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群众满意度</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对周边环境调查问卷满意度</w:t>
            </w:r>
          </w:p>
        </w:tc>
        <w:tc>
          <w:tcPr>
            <w:tcW w:w="0" w:type="auto"/>
            <w:shd w:val="clear" w:color="auto" w:fill="auto"/>
            <w:vAlign w:val="center"/>
            <w:hideMark/>
          </w:tcPr>
          <w:p w:rsidR="00921022" w:rsidRDefault="00921022">
            <w:pPr>
              <w:rPr>
                <w:rFonts w:ascii="宋体" w:hAnsi="宋体" w:cs="宋体"/>
                <w:sz w:val="20"/>
                <w:szCs w:val="20"/>
              </w:rPr>
            </w:pPr>
            <w:r>
              <w:rPr>
                <w:rFonts w:hint="eastAsia"/>
                <w:sz w:val="20"/>
                <w:szCs w:val="20"/>
              </w:rPr>
              <w:t>≥</w:t>
            </w:r>
          </w:p>
        </w:tc>
        <w:tc>
          <w:tcPr>
            <w:tcW w:w="0" w:type="auto"/>
            <w:gridSpan w:val="2"/>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rPr>
                <w:rFonts w:ascii="仿宋_GB2312" w:eastAsia="仿宋_GB2312" w:hAnsi="宋体" w:cs="宋体"/>
                <w:sz w:val="20"/>
                <w:szCs w:val="20"/>
              </w:rPr>
            </w:pPr>
            <w:r>
              <w:rPr>
                <w:rFonts w:ascii="仿宋_GB2312" w:eastAsia="仿宋_GB2312" w:hint="eastAsia"/>
                <w:sz w:val="20"/>
                <w:szCs w:val="20"/>
              </w:rPr>
              <w:t>实地走访</w:t>
            </w:r>
          </w:p>
        </w:tc>
      </w:tr>
    </w:tbl>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6</w:t>
      </w:r>
      <w:r>
        <w:rPr>
          <w:rFonts w:ascii="Times New Roman" w:eastAsia="仿宋_GB2312" w:hAnsi="Times New Roman" w:cs="Times New Roman"/>
          <w:sz w:val="28"/>
        </w:rPr>
        <w:t>.</w:t>
      </w:r>
      <w:r>
        <w:rPr>
          <w:rFonts w:ascii="Times New Roman" w:eastAsia="仿宋_GB2312" w:hAnsi="Times New Roman" w:cs="Times New Roman" w:hint="eastAsia"/>
          <w:sz w:val="28"/>
        </w:rPr>
        <w:t>三级视频设备购置经费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266"/>
        <w:gridCol w:w="2325"/>
        <w:gridCol w:w="5177"/>
        <w:gridCol w:w="532"/>
        <w:gridCol w:w="531"/>
        <w:gridCol w:w="638"/>
        <w:gridCol w:w="2573"/>
      </w:tblGrid>
      <w:tr w:rsidR="00921022" w:rsidTr="007272D3">
        <w:trPr>
          <w:trHeight w:val="1058"/>
        </w:trPr>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lastRenderedPageBreak/>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921022" w:rsidRDefault="00921022">
            <w:pPr>
              <w:rPr>
                <w:rFonts w:ascii="仿宋_GB2312" w:eastAsia="仿宋_GB2312" w:hAnsi="宋体" w:cs="宋体"/>
                <w:sz w:val="24"/>
                <w:szCs w:val="24"/>
              </w:rPr>
            </w:pPr>
            <w:r>
              <w:rPr>
                <w:rFonts w:ascii="仿宋_GB2312" w:eastAsia="仿宋_GB2312" w:hint="eastAsia"/>
              </w:rPr>
              <w:t>为有效应对疫情需要，避免人员聚集召开会议，及时对疫情、环保等工作进行指挥调度，建立文安县县、乡、村三级视频会议系统。</w:t>
            </w:r>
          </w:p>
        </w:tc>
      </w:tr>
      <w:tr w:rsidR="00921022" w:rsidTr="007272D3">
        <w:trPr>
          <w:trHeight w:val="420"/>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指标值确定依据</w:t>
            </w:r>
          </w:p>
        </w:tc>
      </w:tr>
      <w:tr w:rsidR="00921022" w:rsidTr="007272D3">
        <w:trPr>
          <w:trHeight w:val="345"/>
        </w:trPr>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921022" w:rsidRDefault="00921022">
            <w:pPr>
              <w:rPr>
                <w:rFonts w:ascii="仿宋_GB2312" w:eastAsia="仿宋_GB2312" w:hAnsi="宋体" w:cs="宋体"/>
                <w:sz w:val="24"/>
                <w:szCs w:val="24"/>
              </w:rPr>
            </w:pPr>
          </w:p>
        </w:tc>
      </w:tr>
      <w:tr w:rsidR="00921022" w:rsidTr="007272D3">
        <w:trPr>
          <w:trHeight w:val="799"/>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采购启明2型高清视频会议终端1套</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垃圾清运应覆盖的村街数量</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1</w:t>
            </w:r>
          </w:p>
        </w:tc>
        <w:tc>
          <w:tcPr>
            <w:tcW w:w="0" w:type="auto"/>
            <w:shd w:val="clear" w:color="auto" w:fill="auto"/>
            <w:vAlign w:val="center"/>
            <w:hideMark/>
          </w:tcPr>
          <w:p w:rsidR="00921022" w:rsidRDefault="00921022">
            <w:pPr>
              <w:jc w:val="center"/>
              <w:rPr>
                <w:rFonts w:ascii="仿宋_GB2312" w:eastAsia="仿宋_GB2312" w:hAnsi="宋体" w:cs="宋体"/>
                <w:sz w:val="18"/>
                <w:szCs w:val="18"/>
              </w:rPr>
            </w:pPr>
            <w:r>
              <w:rPr>
                <w:rFonts w:ascii="仿宋_GB2312" w:eastAsia="仿宋_GB2312" w:hint="eastAsia"/>
                <w:sz w:val="18"/>
                <w:szCs w:val="18"/>
              </w:rPr>
              <w:t>套</w:t>
            </w:r>
          </w:p>
        </w:tc>
        <w:tc>
          <w:tcPr>
            <w:tcW w:w="0" w:type="auto"/>
            <w:shd w:val="clear" w:color="auto" w:fill="auto"/>
            <w:vAlign w:val="center"/>
            <w:hideMark/>
          </w:tcPr>
          <w:p w:rsidR="00921022" w:rsidRDefault="00921022">
            <w:pPr>
              <w:rPr>
                <w:rFonts w:ascii="仿宋_GB2312" w:eastAsia="仿宋_GB2312" w:hAnsi="宋体" w:cs="宋体"/>
                <w:sz w:val="18"/>
                <w:szCs w:val="18"/>
              </w:rPr>
            </w:pPr>
            <w:r>
              <w:rPr>
                <w:rFonts w:ascii="仿宋_GB2312" w:eastAsia="仿宋_GB2312" w:hint="eastAsia"/>
                <w:sz w:val="18"/>
                <w:szCs w:val="18"/>
              </w:rPr>
              <w:t>实际安装数量</w:t>
            </w:r>
          </w:p>
        </w:tc>
      </w:tr>
      <w:tr w:rsidR="00921022" w:rsidTr="007272D3">
        <w:trPr>
          <w:trHeight w:val="960"/>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质量</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设备安装达标率</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设备图像、音质清晰，满足会议要求</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100</w:t>
            </w:r>
          </w:p>
        </w:tc>
        <w:tc>
          <w:tcPr>
            <w:tcW w:w="0" w:type="auto"/>
            <w:shd w:val="clear" w:color="auto" w:fill="auto"/>
            <w:vAlign w:val="center"/>
            <w:hideMark/>
          </w:tcPr>
          <w:p w:rsidR="00921022" w:rsidRDefault="00921022">
            <w:pPr>
              <w:jc w:val="center"/>
              <w:rPr>
                <w:rFonts w:ascii="仿宋_GB2312" w:eastAsia="仿宋_GB2312" w:hAnsi="宋体" w:cs="宋体"/>
                <w:sz w:val="18"/>
                <w:szCs w:val="18"/>
              </w:rPr>
            </w:pPr>
            <w:r>
              <w:rPr>
                <w:rFonts w:ascii="仿宋_GB2312" w:eastAsia="仿宋_GB2312" w:hint="eastAsia"/>
                <w:sz w:val="18"/>
                <w:szCs w:val="18"/>
              </w:rPr>
              <w:t>百分比</w:t>
            </w:r>
          </w:p>
        </w:tc>
        <w:tc>
          <w:tcPr>
            <w:tcW w:w="0" w:type="auto"/>
            <w:shd w:val="clear" w:color="auto" w:fill="auto"/>
            <w:vAlign w:val="center"/>
            <w:hideMark/>
          </w:tcPr>
          <w:p w:rsidR="00921022" w:rsidRDefault="00921022">
            <w:pPr>
              <w:rPr>
                <w:rFonts w:ascii="仿宋_GB2312" w:eastAsia="仿宋_GB2312" w:hAnsi="宋体" w:cs="宋体"/>
                <w:sz w:val="18"/>
                <w:szCs w:val="18"/>
              </w:rPr>
            </w:pPr>
            <w:r>
              <w:rPr>
                <w:rFonts w:ascii="仿宋_GB2312" w:eastAsia="仿宋_GB2312" w:hint="eastAsia"/>
                <w:sz w:val="18"/>
                <w:szCs w:val="18"/>
              </w:rPr>
              <w:t>项目验收报告</w:t>
            </w:r>
          </w:p>
        </w:tc>
      </w:tr>
      <w:tr w:rsidR="00921022" w:rsidTr="007272D3">
        <w:trPr>
          <w:trHeight w:val="79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时效</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完成时间</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验收完成时间</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12</w:t>
            </w:r>
          </w:p>
        </w:tc>
        <w:tc>
          <w:tcPr>
            <w:tcW w:w="0" w:type="auto"/>
            <w:shd w:val="clear" w:color="auto" w:fill="auto"/>
            <w:vAlign w:val="center"/>
            <w:hideMark/>
          </w:tcPr>
          <w:p w:rsidR="00921022" w:rsidRDefault="00921022">
            <w:pPr>
              <w:jc w:val="center"/>
              <w:rPr>
                <w:rFonts w:ascii="仿宋_GB2312" w:eastAsia="仿宋_GB2312" w:hAnsi="宋体" w:cs="宋体"/>
                <w:sz w:val="18"/>
                <w:szCs w:val="18"/>
              </w:rPr>
            </w:pPr>
            <w:r>
              <w:rPr>
                <w:rFonts w:ascii="仿宋_GB2312" w:eastAsia="仿宋_GB2312" w:hint="eastAsia"/>
                <w:sz w:val="18"/>
                <w:szCs w:val="18"/>
              </w:rPr>
              <w:t>月份</w:t>
            </w:r>
          </w:p>
        </w:tc>
        <w:tc>
          <w:tcPr>
            <w:tcW w:w="0" w:type="auto"/>
            <w:shd w:val="clear" w:color="auto" w:fill="auto"/>
            <w:vAlign w:val="center"/>
            <w:hideMark/>
          </w:tcPr>
          <w:p w:rsidR="00921022" w:rsidRDefault="00921022">
            <w:pPr>
              <w:rPr>
                <w:rFonts w:ascii="仿宋_GB2312" w:eastAsia="仿宋_GB2312" w:hAnsi="宋体" w:cs="宋体"/>
                <w:sz w:val="18"/>
                <w:szCs w:val="18"/>
              </w:rPr>
            </w:pPr>
            <w:r>
              <w:rPr>
                <w:rFonts w:ascii="仿宋_GB2312" w:eastAsia="仿宋_GB2312" w:hint="eastAsia"/>
                <w:sz w:val="18"/>
                <w:szCs w:val="18"/>
              </w:rPr>
              <w:t>施工合同</w:t>
            </w:r>
          </w:p>
        </w:tc>
      </w:tr>
      <w:tr w:rsidR="00921022" w:rsidTr="007272D3">
        <w:trPr>
          <w:trHeight w:val="79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时效</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按时完工</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工程按照合同日期顺利完工</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5</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921022" w:rsidRDefault="00921022">
            <w:pPr>
              <w:rPr>
                <w:rFonts w:ascii="仿宋_GB2312" w:eastAsia="仿宋_GB2312" w:hAnsi="宋体" w:cs="宋体"/>
                <w:sz w:val="18"/>
                <w:szCs w:val="18"/>
              </w:rPr>
            </w:pPr>
            <w:r>
              <w:rPr>
                <w:rFonts w:ascii="仿宋_GB2312" w:eastAsia="仿宋_GB2312" w:hint="eastAsia"/>
                <w:sz w:val="18"/>
                <w:szCs w:val="18"/>
              </w:rPr>
              <w:t>设备安装调试在合同期内按时完成</w:t>
            </w:r>
          </w:p>
        </w:tc>
      </w:tr>
      <w:tr w:rsidR="00921022" w:rsidTr="007272D3">
        <w:trPr>
          <w:trHeight w:val="79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成本</w:t>
            </w:r>
          </w:p>
        </w:tc>
        <w:tc>
          <w:tcPr>
            <w:tcW w:w="0" w:type="auto"/>
            <w:shd w:val="clear" w:color="auto" w:fill="auto"/>
            <w:noWrap/>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按合同价格</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项目实施按合同测算明细计价，不随意增价减价</w:t>
            </w:r>
          </w:p>
        </w:tc>
        <w:tc>
          <w:tcPr>
            <w:tcW w:w="0" w:type="auto"/>
            <w:shd w:val="clear" w:color="auto" w:fill="auto"/>
            <w:vAlign w:val="center"/>
            <w:hideMark/>
          </w:tcPr>
          <w:p w:rsidR="00921022" w:rsidRDefault="00921022">
            <w:pPr>
              <w:jc w:val="center"/>
              <w:rPr>
                <w:rFonts w:ascii="Arial" w:hAnsi="Arial"/>
                <w:sz w:val="20"/>
                <w:szCs w:val="20"/>
              </w:rPr>
            </w:pPr>
            <w:r>
              <w:rPr>
                <w:rFonts w:ascii="Arial" w:hAnsi="Arial"/>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3.6</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万元</w:t>
            </w:r>
          </w:p>
        </w:tc>
        <w:tc>
          <w:tcPr>
            <w:tcW w:w="0" w:type="auto"/>
            <w:shd w:val="clear" w:color="auto" w:fill="auto"/>
            <w:vAlign w:val="center"/>
            <w:hideMark/>
          </w:tcPr>
          <w:p w:rsidR="00921022" w:rsidRDefault="00921022">
            <w:pPr>
              <w:rPr>
                <w:rFonts w:ascii="仿宋_GB2312" w:eastAsia="仿宋_GB2312" w:hAnsi="宋体" w:cs="宋体"/>
                <w:sz w:val="18"/>
                <w:szCs w:val="18"/>
              </w:rPr>
            </w:pPr>
            <w:r>
              <w:rPr>
                <w:rFonts w:ascii="仿宋_GB2312" w:eastAsia="仿宋_GB2312" w:hint="eastAsia"/>
                <w:sz w:val="18"/>
                <w:szCs w:val="18"/>
              </w:rPr>
              <w:t>工程按照合同约定及工程量完成，不出现提价增项问题</w:t>
            </w:r>
          </w:p>
        </w:tc>
      </w:tr>
      <w:tr w:rsidR="00921022" w:rsidTr="007272D3">
        <w:trPr>
          <w:trHeight w:val="1062"/>
        </w:trPr>
        <w:tc>
          <w:tcPr>
            <w:tcW w:w="0" w:type="auto"/>
            <w:vMerge w:val="restart"/>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社会效益</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设备使用覆盖率</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项目覆盖村街占辖区村街的比率</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Pr="00B84BDC" w:rsidRDefault="00921022" w:rsidP="00B84BDC">
            <w:pPr>
              <w:jc w:val="center"/>
              <w:rPr>
                <w:rFonts w:ascii="仿宋_GB2312" w:eastAsia="仿宋_GB2312"/>
                <w:sz w:val="20"/>
                <w:szCs w:val="20"/>
              </w:rPr>
            </w:pPr>
            <w:r w:rsidRPr="00B84BDC">
              <w:rPr>
                <w:rFonts w:ascii="仿宋_GB2312" w:eastAsia="仿宋_GB2312" w:hint="eastAsia"/>
                <w:sz w:val="20"/>
                <w:szCs w:val="20"/>
              </w:rPr>
              <w:t>项目所辖区域的覆盖程度</w:t>
            </w:r>
          </w:p>
        </w:tc>
      </w:tr>
      <w:tr w:rsidR="00921022" w:rsidTr="007272D3">
        <w:trPr>
          <w:trHeight w:val="1080"/>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经济效益</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会议成本节约率</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通过项目实施，切实减少因会议召开造成的各项成本的增加</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50</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百分比</w:t>
            </w:r>
          </w:p>
        </w:tc>
        <w:tc>
          <w:tcPr>
            <w:tcW w:w="0" w:type="auto"/>
            <w:shd w:val="clear" w:color="auto" w:fill="auto"/>
            <w:vAlign w:val="center"/>
            <w:hideMark/>
          </w:tcPr>
          <w:p w:rsidR="00921022" w:rsidRPr="00B84BDC" w:rsidRDefault="00921022" w:rsidP="00B84BDC">
            <w:pPr>
              <w:jc w:val="center"/>
              <w:rPr>
                <w:rFonts w:ascii="仿宋_GB2312" w:eastAsia="仿宋_GB2312"/>
                <w:sz w:val="20"/>
                <w:szCs w:val="20"/>
              </w:rPr>
            </w:pPr>
            <w:r w:rsidRPr="00B84BDC">
              <w:rPr>
                <w:rFonts w:ascii="仿宋_GB2312" w:eastAsia="仿宋_GB2312" w:hint="eastAsia"/>
                <w:sz w:val="20"/>
                <w:szCs w:val="20"/>
              </w:rPr>
              <w:t>往年度差旅及车辆运行费用支出金额下降</w:t>
            </w:r>
          </w:p>
        </w:tc>
      </w:tr>
      <w:tr w:rsidR="00921022" w:rsidTr="007272D3">
        <w:trPr>
          <w:trHeight w:val="79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可持续影响</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持续时长</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项目持续发挥作用的年限</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5</w:t>
            </w:r>
          </w:p>
        </w:tc>
        <w:tc>
          <w:tcPr>
            <w:tcW w:w="0" w:type="auto"/>
            <w:shd w:val="clear" w:color="auto" w:fill="auto"/>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年</w:t>
            </w:r>
          </w:p>
        </w:tc>
        <w:tc>
          <w:tcPr>
            <w:tcW w:w="0" w:type="auto"/>
            <w:shd w:val="clear" w:color="auto" w:fill="auto"/>
            <w:vAlign w:val="center"/>
            <w:hideMark/>
          </w:tcPr>
          <w:p w:rsidR="00921022" w:rsidRPr="00B84BDC" w:rsidRDefault="00921022" w:rsidP="00B84BDC">
            <w:pPr>
              <w:jc w:val="center"/>
              <w:rPr>
                <w:rFonts w:ascii="仿宋_GB2312" w:eastAsia="仿宋_GB2312"/>
                <w:sz w:val="20"/>
                <w:szCs w:val="20"/>
              </w:rPr>
            </w:pPr>
            <w:r w:rsidRPr="00B84BDC">
              <w:rPr>
                <w:rFonts w:ascii="仿宋_GB2312" w:eastAsia="仿宋_GB2312" w:hint="eastAsia"/>
                <w:sz w:val="20"/>
                <w:szCs w:val="20"/>
              </w:rPr>
              <w:t>设备正常使用年限及后期维护服务</w:t>
            </w:r>
          </w:p>
        </w:tc>
      </w:tr>
      <w:tr w:rsidR="00921022" w:rsidTr="007272D3">
        <w:trPr>
          <w:trHeight w:val="115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可持续影响</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设备运行完好度</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能够切实有效保障的保障设备运行，确保上级部门对疫情、环保等工作进行及时、有效的调度指挥</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noWrap/>
            <w:vAlign w:val="center"/>
            <w:hideMark/>
          </w:tcPr>
          <w:p w:rsidR="00921022" w:rsidRDefault="00921022">
            <w:pPr>
              <w:jc w:val="center"/>
              <w:rPr>
                <w:rFonts w:ascii="宋体" w:hAnsi="宋体" w:cs="宋体"/>
                <w:color w:val="000000"/>
                <w:sz w:val="20"/>
                <w:szCs w:val="20"/>
              </w:rPr>
            </w:pPr>
            <w:r>
              <w:rPr>
                <w:rFonts w:hint="eastAsia"/>
                <w:color w:val="000000"/>
                <w:sz w:val="20"/>
                <w:szCs w:val="20"/>
              </w:rPr>
              <w:t>5</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年</w:t>
            </w:r>
          </w:p>
        </w:tc>
        <w:tc>
          <w:tcPr>
            <w:tcW w:w="0" w:type="auto"/>
            <w:shd w:val="clear" w:color="auto" w:fill="auto"/>
            <w:vAlign w:val="center"/>
            <w:hideMark/>
          </w:tcPr>
          <w:p w:rsidR="00921022" w:rsidRPr="00B84BDC" w:rsidRDefault="00921022" w:rsidP="00B84BDC">
            <w:pPr>
              <w:jc w:val="center"/>
              <w:rPr>
                <w:rFonts w:ascii="仿宋_GB2312" w:eastAsia="仿宋_GB2312"/>
                <w:sz w:val="20"/>
                <w:szCs w:val="20"/>
              </w:rPr>
            </w:pPr>
            <w:r w:rsidRPr="00B84BDC">
              <w:rPr>
                <w:rFonts w:ascii="仿宋_GB2312" w:eastAsia="仿宋_GB2312" w:hint="eastAsia"/>
                <w:sz w:val="20"/>
                <w:szCs w:val="20"/>
              </w:rPr>
              <w:t>设备正常使用年限及后期维护服务</w:t>
            </w:r>
          </w:p>
        </w:tc>
      </w:tr>
      <w:tr w:rsidR="00921022" w:rsidTr="007272D3">
        <w:trPr>
          <w:trHeight w:val="799"/>
        </w:trPr>
        <w:tc>
          <w:tcPr>
            <w:tcW w:w="0" w:type="auto"/>
            <w:vMerge/>
            <w:vAlign w:val="center"/>
            <w:hideMark/>
          </w:tcPr>
          <w:p w:rsidR="00921022" w:rsidRDefault="00921022">
            <w:pPr>
              <w:rPr>
                <w:rFonts w:ascii="仿宋_GB2312" w:eastAsia="仿宋_GB2312" w:hAnsi="宋体" w:cs="宋体"/>
                <w:sz w:val="24"/>
                <w:szCs w:val="24"/>
              </w:rPr>
            </w:pPr>
          </w:p>
        </w:tc>
        <w:tc>
          <w:tcPr>
            <w:tcW w:w="0" w:type="auto"/>
            <w:shd w:val="clear" w:color="auto" w:fill="auto"/>
            <w:noWrap/>
            <w:vAlign w:val="center"/>
            <w:hideMark/>
          </w:tcPr>
          <w:p w:rsidR="00921022" w:rsidRDefault="00921022">
            <w:pPr>
              <w:jc w:val="center"/>
              <w:rPr>
                <w:rFonts w:ascii="仿宋_GB2312" w:eastAsia="仿宋_GB2312" w:hAnsi="宋体" w:cs="宋体"/>
                <w:sz w:val="24"/>
                <w:szCs w:val="24"/>
              </w:rPr>
            </w:pPr>
            <w:r>
              <w:rPr>
                <w:rFonts w:ascii="仿宋_GB2312" w:eastAsia="仿宋_GB2312" w:hint="eastAsia"/>
              </w:rPr>
              <w:t>满意度</w:t>
            </w:r>
          </w:p>
        </w:tc>
        <w:tc>
          <w:tcPr>
            <w:tcW w:w="0" w:type="auto"/>
            <w:shd w:val="clear" w:color="auto" w:fill="auto"/>
            <w:noWrap/>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参会人员满意度占总人数的比例</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98</w:t>
            </w:r>
          </w:p>
        </w:tc>
        <w:tc>
          <w:tcPr>
            <w:tcW w:w="0" w:type="auto"/>
            <w:shd w:val="clear" w:color="auto" w:fill="auto"/>
            <w:vAlign w:val="center"/>
            <w:hideMark/>
          </w:tcPr>
          <w:p w:rsidR="00921022" w:rsidRDefault="00921022">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921022" w:rsidRDefault="00921022">
            <w:pPr>
              <w:jc w:val="center"/>
              <w:rPr>
                <w:rFonts w:ascii="仿宋_GB2312" w:eastAsia="仿宋_GB2312" w:hAnsi="宋体" w:cs="宋体"/>
                <w:sz w:val="18"/>
                <w:szCs w:val="18"/>
              </w:rPr>
            </w:pPr>
            <w:r>
              <w:rPr>
                <w:rFonts w:ascii="仿宋_GB2312" w:eastAsia="仿宋_GB2312" w:hint="eastAsia"/>
                <w:sz w:val="18"/>
                <w:szCs w:val="18"/>
              </w:rPr>
              <w:t>满意度调查</w:t>
            </w:r>
          </w:p>
        </w:tc>
      </w:tr>
    </w:tbl>
    <w:p w:rsidR="000F3054" w:rsidRDefault="000F3054" w:rsidP="00D913AF">
      <w:pPr>
        <w:ind w:firstLineChars="200" w:firstLine="560"/>
        <w:jc w:val="left"/>
        <w:outlineLvl w:val="1"/>
        <w:rPr>
          <w:rFonts w:ascii="Times New Roman" w:eastAsia="仿宋_GB2312" w:hAnsi="Times New Roman" w:cs="Times New Roman"/>
          <w:sz w:val="28"/>
        </w:rPr>
      </w:pPr>
    </w:p>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7</w:t>
      </w:r>
      <w:r>
        <w:rPr>
          <w:rFonts w:ascii="Times New Roman" w:eastAsia="仿宋_GB2312" w:hAnsi="Times New Roman" w:cs="Times New Roman"/>
          <w:sz w:val="28"/>
        </w:rPr>
        <w:t>.</w:t>
      </w:r>
      <w:r w:rsidRPr="00623277">
        <w:rPr>
          <w:rFonts w:hint="eastAsia"/>
        </w:rPr>
        <w:t xml:space="preserve"> </w:t>
      </w:r>
      <w:r w:rsidRPr="00623277">
        <w:rPr>
          <w:rFonts w:ascii="Times New Roman" w:eastAsia="仿宋_GB2312" w:hAnsi="Times New Roman" w:cs="Times New Roman" w:hint="eastAsia"/>
          <w:sz w:val="28"/>
        </w:rPr>
        <w:t>精神文明创建活动奖励</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3" w:type="dxa"/>
        <w:tblLook w:val="04A0"/>
      </w:tblPr>
      <w:tblGrid>
        <w:gridCol w:w="1266"/>
        <w:gridCol w:w="2106"/>
        <w:gridCol w:w="1642"/>
        <w:gridCol w:w="4235"/>
        <w:gridCol w:w="600"/>
        <w:gridCol w:w="846"/>
        <w:gridCol w:w="1679"/>
        <w:gridCol w:w="2548"/>
      </w:tblGrid>
      <w:tr w:rsidR="00745FFB" w:rsidTr="00E515EA">
        <w:trPr>
          <w:trHeight w:val="60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745FFB" w:rsidRDefault="00745FFB">
            <w:pPr>
              <w:jc w:val="center"/>
              <w:rPr>
                <w:rFonts w:ascii="仿宋_GB2312" w:eastAsia="仿宋_GB2312" w:hAnsi="Tahoma" w:cs="Tahoma"/>
                <w:sz w:val="24"/>
                <w:szCs w:val="24"/>
              </w:rPr>
            </w:pPr>
            <w:r>
              <w:rPr>
                <w:rFonts w:ascii="仿宋_GB2312" w:eastAsia="仿宋_GB2312" w:hAnsi="Tahoma" w:cs="Tahoma" w:hint="eastAsia"/>
              </w:rPr>
              <w:t>绩效</w:t>
            </w:r>
            <w:r>
              <w:rPr>
                <w:rFonts w:ascii="Times New Roman" w:eastAsia="仿宋_GB2312" w:hAnsi="Times New Roman" w:cs="Times New Roman"/>
              </w:rPr>
              <w:br/>
            </w:r>
            <w:r>
              <w:rPr>
                <w:rFonts w:ascii="仿宋_GB2312" w:eastAsia="仿宋_GB2312" w:hAnsi="Tahoma" w:cs="Tahoma" w:hint="eastAsia"/>
              </w:rPr>
              <w:t>目标</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45FFB" w:rsidRDefault="00745FFB">
            <w:pPr>
              <w:rPr>
                <w:rFonts w:ascii="仿宋_GB2312" w:eastAsia="仿宋_GB2312" w:hAnsi="Tahoma" w:cs="Tahoma"/>
                <w:sz w:val="20"/>
                <w:szCs w:val="20"/>
              </w:rPr>
            </w:pPr>
            <w:r>
              <w:rPr>
                <w:rFonts w:ascii="仿宋_GB2312" w:eastAsia="仿宋_GB2312" w:hAnsi="Tahoma" w:cs="Tahoma" w:hint="eastAsia"/>
                <w:sz w:val="20"/>
                <w:szCs w:val="20"/>
              </w:rPr>
              <w:t>按时拨付精神文明创建活动奖励</w:t>
            </w:r>
          </w:p>
        </w:tc>
      </w:tr>
      <w:tr w:rsidR="00745FFB" w:rsidTr="00E515EA">
        <w:trPr>
          <w:trHeight w:val="28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一级指标</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二级指标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45FFB" w:rsidRPr="00B84BDC" w:rsidRDefault="00745FFB">
            <w:pPr>
              <w:jc w:val="center"/>
              <w:rPr>
                <w:rFonts w:ascii="仿宋_GB2312" w:eastAsia="仿宋_GB2312"/>
              </w:rPr>
            </w:pPr>
            <w:r w:rsidRPr="00B84BDC">
              <w:rPr>
                <w:rFonts w:ascii="仿宋_GB2312" w:eastAsia="仿宋_GB2312" w:hint="eastAsia"/>
              </w:rPr>
              <w:t>三级指标</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FFB" w:rsidRPr="00B84BDC" w:rsidRDefault="00745FFB">
            <w:pPr>
              <w:jc w:val="center"/>
              <w:rPr>
                <w:rFonts w:ascii="仿宋_GB2312" w:eastAsia="仿宋_GB2312"/>
              </w:rPr>
            </w:pPr>
            <w:r w:rsidRPr="00B84BDC">
              <w:rPr>
                <w:rFonts w:ascii="仿宋_GB2312" w:eastAsia="仿宋_GB2312" w:hint="eastAsia"/>
              </w:rPr>
              <w:t>指标说明</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pPr>
              <w:jc w:val="center"/>
              <w:rPr>
                <w:rFonts w:ascii="仿宋_GB2312" w:eastAsia="仿宋_GB2312"/>
              </w:rPr>
            </w:pPr>
            <w:r w:rsidRPr="00B84BDC">
              <w:rPr>
                <w:rFonts w:ascii="仿宋_GB2312" w:eastAsia="仿宋_GB2312" w:hint="eastAsia"/>
              </w:rPr>
              <w:t>指标值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45FFB" w:rsidRPr="00B84BDC" w:rsidRDefault="00745FFB">
            <w:pPr>
              <w:jc w:val="center"/>
              <w:rPr>
                <w:rFonts w:ascii="仿宋_GB2312" w:eastAsia="仿宋_GB2312"/>
              </w:rPr>
            </w:pPr>
            <w:r w:rsidRPr="00B84BDC">
              <w:rPr>
                <w:rFonts w:ascii="仿宋_GB2312" w:eastAsia="仿宋_GB2312" w:hint="eastAsia"/>
              </w:rPr>
              <w:t>指标确定依据</w:t>
            </w:r>
          </w:p>
        </w:tc>
      </w:tr>
      <w:tr w:rsidR="00745FFB" w:rsidTr="00E515EA">
        <w:trPr>
          <w:trHeight w:val="450"/>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符号</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值</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单位（文字描述）</w:t>
            </w:r>
          </w:p>
        </w:tc>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r>
      <w:tr w:rsidR="00745FFB" w:rsidTr="00E515EA">
        <w:trPr>
          <w:trHeight w:val="6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产出指标</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数量指标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实发人数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在职人员13人、自收自支人员1人、退休人员7人</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jc w:val="right"/>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人</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根据2020年12月份工资明细</w:t>
            </w:r>
          </w:p>
        </w:tc>
      </w:tr>
      <w:tr w:rsidR="00745FFB" w:rsidTr="00E515EA">
        <w:trPr>
          <w:trHeight w:val="285"/>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时效指标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按时发放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根据下达资金及时下发</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按时拨付</w:t>
            </w:r>
          </w:p>
        </w:tc>
      </w:tr>
      <w:tr w:rsidR="00745FFB" w:rsidTr="00E515EA">
        <w:trPr>
          <w:trHeight w:val="285"/>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成本指标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按时发放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根据人员类别即标准发放</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按时拨付</w:t>
            </w:r>
          </w:p>
        </w:tc>
      </w:tr>
      <w:tr w:rsidR="00745FFB" w:rsidTr="00E515EA">
        <w:trPr>
          <w:trHeight w:val="450"/>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质量指标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按每人资金数发放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共发放资金296640元</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元</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政府发放资金标准</w:t>
            </w:r>
          </w:p>
        </w:tc>
      </w:tr>
      <w:tr w:rsidR="00745FFB" w:rsidTr="00E515EA">
        <w:trPr>
          <w:trHeight w:val="67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效益指标</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生态效益指标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城市环境整体改善</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按时提供数据</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jc w:val="right"/>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全国闻名城市创建大排行</w:t>
            </w:r>
          </w:p>
        </w:tc>
      </w:tr>
      <w:tr w:rsidR="00745FFB" w:rsidTr="00B84BDC">
        <w:trPr>
          <w:trHeight w:val="450"/>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经济效益指标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促进城市稳步发展</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精神文明创建活动</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按时拨付</w:t>
            </w:r>
          </w:p>
        </w:tc>
      </w:tr>
      <w:tr w:rsidR="00745FFB" w:rsidTr="00B84BDC">
        <w:trPr>
          <w:trHeight w:val="450"/>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社会效益指标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改善整体城市环境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人员素质加强，环境改善，精神文明创建成功</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按时拨付</w:t>
            </w:r>
          </w:p>
        </w:tc>
      </w:tr>
      <w:tr w:rsidR="00745FFB" w:rsidTr="00E515EA">
        <w:trPr>
          <w:trHeight w:val="285"/>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可持续影响指标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数量质量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按要求提供数据</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按时拨付</w:t>
            </w:r>
          </w:p>
        </w:tc>
      </w:tr>
      <w:tr w:rsidR="00745FFB" w:rsidTr="00E515EA">
        <w:trPr>
          <w:trHeight w:val="28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满意度指标</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jc w:val="center"/>
              <w:rPr>
                <w:rFonts w:ascii="仿宋_GB2312" w:eastAsia="仿宋_GB2312"/>
              </w:rPr>
            </w:pPr>
            <w:r w:rsidRPr="00B84BDC">
              <w:rPr>
                <w:rFonts w:ascii="仿宋_GB2312" w:eastAsia="仿宋_GB2312" w:hint="eastAsia"/>
              </w:rPr>
              <w:t>服务对象满意度指标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满意度调查</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职工满意度</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pPr>
              <w:jc w:val="right"/>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pPr>
              <w:rPr>
                <w:rFonts w:ascii="仿宋_GB2312" w:eastAsia="仿宋_GB2312"/>
              </w:rPr>
            </w:pPr>
            <w:r w:rsidRPr="00B84BDC">
              <w:rPr>
                <w:rFonts w:ascii="仿宋_GB2312" w:eastAsia="仿宋_GB2312" w:hint="eastAsia"/>
              </w:rPr>
              <w:t>走访调查</w:t>
            </w:r>
          </w:p>
        </w:tc>
      </w:tr>
      <w:tr w:rsidR="00745FFB" w:rsidTr="00E515EA">
        <w:trPr>
          <w:trHeight w:val="285"/>
        </w:trPr>
        <w:tc>
          <w:tcPr>
            <w:tcW w:w="0" w:type="auto"/>
            <w:vMerge/>
            <w:tcBorders>
              <w:top w:val="nil"/>
              <w:left w:val="single" w:sz="4" w:space="0" w:color="auto"/>
              <w:bottom w:val="single" w:sz="4" w:space="0" w:color="auto"/>
              <w:right w:val="single" w:sz="4" w:space="0" w:color="auto"/>
            </w:tcBorders>
            <w:vAlign w:val="center"/>
            <w:hideMark/>
          </w:tcPr>
          <w:p w:rsidR="00745FFB" w:rsidRPr="00B84BDC" w:rsidRDefault="00745FFB" w:rsidP="00B84BDC">
            <w:pPr>
              <w:jc w:val="center"/>
              <w:rPr>
                <w:rFonts w:ascii="仿宋_GB2312" w:eastAsia="仿宋_GB2312"/>
              </w:rPr>
            </w:pP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服务对象满意度指标</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满意度调查</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退休人员满意度</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w:t>
            </w:r>
          </w:p>
        </w:tc>
        <w:tc>
          <w:tcPr>
            <w:tcW w:w="0" w:type="auto"/>
            <w:tcBorders>
              <w:top w:val="nil"/>
              <w:left w:val="nil"/>
              <w:bottom w:val="single" w:sz="4" w:space="0" w:color="auto"/>
              <w:right w:val="single" w:sz="4" w:space="0" w:color="auto"/>
            </w:tcBorders>
            <w:shd w:val="clear" w:color="auto" w:fill="auto"/>
            <w:noWrap/>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100.00</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百分比</w:t>
            </w:r>
          </w:p>
        </w:tc>
        <w:tc>
          <w:tcPr>
            <w:tcW w:w="0" w:type="auto"/>
            <w:tcBorders>
              <w:top w:val="nil"/>
              <w:left w:val="nil"/>
              <w:bottom w:val="single" w:sz="4" w:space="0" w:color="auto"/>
              <w:right w:val="single" w:sz="4" w:space="0" w:color="auto"/>
            </w:tcBorders>
            <w:shd w:val="clear" w:color="auto" w:fill="auto"/>
            <w:vAlign w:val="center"/>
            <w:hideMark/>
          </w:tcPr>
          <w:p w:rsidR="00745FFB" w:rsidRPr="00B84BDC" w:rsidRDefault="00745FFB" w:rsidP="00B84BDC">
            <w:pPr>
              <w:jc w:val="center"/>
              <w:rPr>
                <w:rFonts w:ascii="仿宋_GB2312" w:eastAsia="仿宋_GB2312"/>
              </w:rPr>
            </w:pPr>
            <w:r w:rsidRPr="00B84BDC">
              <w:rPr>
                <w:rFonts w:ascii="仿宋_GB2312" w:eastAsia="仿宋_GB2312" w:hint="eastAsia"/>
              </w:rPr>
              <w:t>走访调查</w:t>
            </w:r>
          </w:p>
        </w:tc>
      </w:tr>
    </w:tbl>
    <w:p w:rsidR="00D913AF" w:rsidRDefault="00D913AF" w:rsidP="00D913AF">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hint="eastAsia"/>
          <w:sz w:val="28"/>
        </w:rPr>
        <w:t>8</w:t>
      </w:r>
      <w:r>
        <w:rPr>
          <w:rFonts w:ascii="Times New Roman" w:eastAsia="仿宋_GB2312" w:hAnsi="Times New Roman" w:cs="Times New Roman"/>
          <w:sz w:val="28"/>
        </w:rPr>
        <w:t>.</w:t>
      </w:r>
      <w:r w:rsidR="000F3054" w:rsidRPr="000F3054">
        <w:rPr>
          <w:rFonts w:hint="eastAsia"/>
        </w:rPr>
        <w:t xml:space="preserve"> </w:t>
      </w:r>
      <w:r w:rsidR="000F3054" w:rsidRPr="000F3054">
        <w:rPr>
          <w:rFonts w:ascii="Times New Roman" w:eastAsia="仿宋_GB2312" w:hAnsi="Times New Roman" w:cs="Times New Roman" w:hint="eastAsia"/>
          <w:sz w:val="28"/>
        </w:rPr>
        <w:t>张向阳雄安新区挂职锻炼专项经费</w:t>
      </w:r>
      <w:r>
        <w:rPr>
          <w:rFonts w:ascii="Times New Roman" w:eastAsia="仿宋_GB2312" w:hAnsi="Times New Roman" w:cs="Times New Roman"/>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vanish/>
          <w:sz w:val="28"/>
        </w:rPr>
        <w:t>）和督查督办系统升级及推广费绩效目标表</w:t>
      </w:r>
      <w:r>
        <w:rPr>
          <w:rFonts w:ascii="Times New Roman" w:eastAsia="仿宋_GB2312" w:hAnsi="Times New Roman" w:cs="Times New Roman"/>
          <w:vanish/>
          <w:sz w:val="28"/>
        </w:rPr>
        <w:t xml:space="preserve"> \f C \l 1 }</w:t>
      </w:r>
    </w:p>
    <w:p w:rsidR="00D913AF" w:rsidRDefault="00D913AF" w:rsidP="00D913AF">
      <w:pPr>
        <w:spacing w:line="14" w:lineRule="exact"/>
        <w:ind w:firstLineChars="200" w:firstLine="420"/>
        <w:jc w:val="center"/>
        <w:rPr>
          <w:rFonts w:ascii="Times New Roman" w:eastAsia="仿宋_GB2312" w:hAnsi="Times New Roman" w:cs="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156"/>
        <w:gridCol w:w="2528"/>
        <w:gridCol w:w="5117"/>
        <w:gridCol w:w="557"/>
        <w:gridCol w:w="516"/>
        <w:gridCol w:w="669"/>
        <w:gridCol w:w="3323"/>
      </w:tblGrid>
      <w:tr w:rsidR="000F3054" w:rsidTr="000F3054">
        <w:trPr>
          <w:trHeight w:val="1058"/>
        </w:trPr>
        <w:tc>
          <w:tcPr>
            <w:tcW w:w="0" w:type="auto"/>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绩效</w:t>
            </w:r>
            <w:r>
              <w:rPr>
                <w:rFonts w:ascii="Times New Roman" w:eastAsia="仿宋_GB2312" w:hAnsi="Times New Roman" w:cs="Times New Roman"/>
              </w:rPr>
              <w:br/>
            </w:r>
            <w:r>
              <w:rPr>
                <w:rFonts w:ascii="仿宋_GB2312" w:eastAsia="仿宋_GB2312" w:hint="eastAsia"/>
              </w:rPr>
              <w:t>目标</w:t>
            </w:r>
          </w:p>
        </w:tc>
        <w:tc>
          <w:tcPr>
            <w:tcW w:w="0" w:type="auto"/>
            <w:gridSpan w:val="7"/>
            <w:shd w:val="clear" w:color="auto" w:fill="auto"/>
            <w:vAlign w:val="center"/>
            <w:hideMark/>
          </w:tcPr>
          <w:p w:rsidR="000F3054" w:rsidRDefault="000F3054" w:rsidP="000F3054">
            <w:pPr>
              <w:rPr>
                <w:rFonts w:ascii="仿宋_GB2312" w:eastAsia="仿宋_GB2312" w:hAnsi="宋体" w:cs="宋体"/>
                <w:sz w:val="20"/>
                <w:szCs w:val="20"/>
              </w:rPr>
            </w:pPr>
            <w:r>
              <w:rPr>
                <w:rFonts w:ascii="仿宋_GB2312" w:eastAsia="仿宋_GB2312" w:hint="eastAsia"/>
                <w:sz w:val="20"/>
                <w:szCs w:val="20"/>
              </w:rPr>
              <w:t xml:space="preserve">促进廊坊市与雄安新区的沟通交流，提高服务新区建设能力的水平，为新区建设前沿阵地培养锻炼干部。            </w:t>
            </w:r>
          </w:p>
        </w:tc>
      </w:tr>
      <w:tr w:rsidR="000F3054" w:rsidTr="000F3054">
        <w:trPr>
          <w:trHeight w:val="420"/>
        </w:trPr>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一级指标</w:t>
            </w:r>
          </w:p>
        </w:tc>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二级指标</w:t>
            </w:r>
          </w:p>
        </w:tc>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三级指标</w:t>
            </w:r>
          </w:p>
        </w:tc>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绩效指标描述</w:t>
            </w:r>
          </w:p>
        </w:tc>
        <w:tc>
          <w:tcPr>
            <w:tcW w:w="0" w:type="auto"/>
            <w:gridSpan w:val="3"/>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指标值</w:t>
            </w:r>
          </w:p>
        </w:tc>
        <w:tc>
          <w:tcPr>
            <w:tcW w:w="0" w:type="auto"/>
            <w:vMerge w:val="restart"/>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指标值确定依据</w:t>
            </w:r>
          </w:p>
        </w:tc>
      </w:tr>
      <w:tr w:rsidR="000F3054" w:rsidTr="000F3054">
        <w:trPr>
          <w:trHeight w:val="345"/>
        </w:trPr>
        <w:tc>
          <w:tcPr>
            <w:tcW w:w="0" w:type="auto"/>
            <w:vMerge/>
            <w:vAlign w:val="center"/>
            <w:hideMark/>
          </w:tcPr>
          <w:p w:rsidR="000F3054" w:rsidRDefault="000F3054">
            <w:pPr>
              <w:rPr>
                <w:rFonts w:ascii="仿宋_GB2312" w:eastAsia="仿宋_GB2312" w:hAnsi="宋体" w:cs="宋体"/>
                <w:sz w:val="24"/>
                <w:szCs w:val="24"/>
              </w:rPr>
            </w:pPr>
          </w:p>
        </w:tc>
        <w:tc>
          <w:tcPr>
            <w:tcW w:w="0" w:type="auto"/>
            <w:vMerge/>
            <w:vAlign w:val="center"/>
            <w:hideMark/>
          </w:tcPr>
          <w:p w:rsidR="000F3054" w:rsidRDefault="000F3054">
            <w:pPr>
              <w:rPr>
                <w:rFonts w:ascii="仿宋_GB2312" w:eastAsia="仿宋_GB2312" w:hAnsi="宋体" w:cs="宋体"/>
                <w:sz w:val="24"/>
                <w:szCs w:val="24"/>
              </w:rPr>
            </w:pPr>
          </w:p>
        </w:tc>
        <w:tc>
          <w:tcPr>
            <w:tcW w:w="0" w:type="auto"/>
            <w:vMerge/>
            <w:vAlign w:val="center"/>
            <w:hideMark/>
          </w:tcPr>
          <w:p w:rsidR="000F3054" w:rsidRDefault="000F3054">
            <w:pPr>
              <w:rPr>
                <w:rFonts w:ascii="仿宋_GB2312" w:eastAsia="仿宋_GB2312" w:hAnsi="宋体" w:cs="宋体"/>
                <w:sz w:val="24"/>
                <w:szCs w:val="24"/>
              </w:rPr>
            </w:pPr>
          </w:p>
        </w:tc>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符号</w:t>
            </w:r>
          </w:p>
        </w:tc>
        <w:tc>
          <w:tcPr>
            <w:tcW w:w="0" w:type="auto"/>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值</w:t>
            </w:r>
          </w:p>
        </w:tc>
        <w:tc>
          <w:tcPr>
            <w:tcW w:w="0" w:type="auto"/>
            <w:shd w:val="clear" w:color="auto" w:fill="auto"/>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单位</w:t>
            </w:r>
          </w:p>
        </w:tc>
        <w:tc>
          <w:tcPr>
            <w:tcW w:w="0" w:type="auto"/>
            <w:vMerge/>
            <w:vAlign w:val="center"/>
            <w:hideMark/>
          </w:tcPr>
          <w:p w:rsidR="000F3054" w:rsidRDefault="000F3054">
            <w:pPr>
              <w:rPr>
                <w:rFonts w:ascii="仿宋_GB2312" w:eastAsia="仿宋_GB2312" w:hAnsi="宋体" w:cs="宋体"/>
                <w:sz w:val="24"/>
                <w:szCs w:val="24"/>
              </w:rPr>
            </w:pPr>
          </w:p>
        </w:tc>
      </w:tr>
      <w:tr w:rsidR="000F3054" w:rsidTr="00B84BDC">
        <w:trPr>
          <w:trHeight w:val="714"/>
        </w:trPr>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产出指标</w:t>
            </w:r>
          </w:p>
        </w:tc>
        <w:tc>
          <w:tcPr>
            <w:tcW w:w="0" w:type="auto"/>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差旅费</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差旅费补助市域以外地区每人每天180元（每节假日往返一次）</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180</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元</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 xml:space="preserve">按差旅费费管理办法发放    </w:t>
            </w:r>
          </w:p>
        </w:tc>
      </w:tr>
      <w:tr w:rsidR="000F3054" w:rsidTr="00B84BDC">
        <w:trPr>
          <w:trHeight w:val="700"/>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数量</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伙食费</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伙食补助每人每天25元</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25</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元</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按差旅费费管理办法发放</w:t>
            </w:r>
          </w:p>
        </w:tc>
      </w:tr>
      <w:tr w:rsidR="000F3054" w:rsidTr="00B84BDC">
        <w:trPr>
          <w:trHeight w:val="412"/>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发放时间</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按时发放</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12</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月</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工资发放计划</w:t>
            </w:r>
          </w:p>
        </w:tc>
      </w:tr>
      <w:tr w:rsidR="000F3054" w:rsidTr="00B84BDC">
        <w:trPr>
          <w:trHeight w:val="560"/>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时效</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补助资金到位率</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实际到位补助资金占应到位资金的比例</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冀财行【2014】42号        廊发办【2013】27号</w:t>
            </w:r>
          </w:p>
        </w:tc>
      </w:tr>
      <w:tr w:rsidR="000F3054" w:rsidTr="00B84BDC">
        <w:trPr>
          <w:trHeight w:val="626"/>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陈本</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保障好挂职期间的各项生活待遇保障</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在外地工作期间的伙食补助，省内按每天25元补助，不报销住宿费和市内交通费</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25</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元</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生活待遇补助表            计划标准</w:t>
            </w:r>
          </w:p>
        </w:tc>
      </w:tr>
      <w:tr w:rsidR="000F3054" w:rsidTr="00B84BDC">
        <w:trPr>
          <w:trHeight w:val="701"/>
        </w:trPr>
        <w:tc>
          <w:tcPr>
            <w:tcW w:w="0" w:type="auto"/>
            <w:vMerge w:val="restart"/>
            <w:shd w:val="clear" w:color="auto" w:fill="auto"/>
            <w:noWrap/>
            <w:vAlign w:val="center"/>
            <w:hideMark/>
          </w:tcPr>
          <w:p w:rsidR="000F3054" w:rsidRDefault="000F3054">
            <w:pPr>
              <w:jc w:val="center"/>
              <w:rPr>
                <w:rFonts w:ascii="仿宋_GB2312" w:eastAsia="仿宋_GB2312" w:hAnsi="宋体" w:cs="宋体"/>
                <w:sz w:val="24"/>
                <w:szCs w:val="24"/>
              </w:rPr>
            </w:pPr>
            <w:r>
              <w:rPr>
                <w:rFonts w:ascii="仿宋_GB2312" w:eastAsia="仿宋_GB2312" w:hint="eastAsia"/>
              </w:rPr>
              <w:t>效果指标</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社会效益</w:t>
            </w:r>
          </w:p>
        </w:tc>
        <w:tc>
          <w:tcPr>
            <w:tcW w:w="0" w:type="auto"/>
            <w:shd w:val="clear" w:color="auto" w:fill="auto"/>
            <w:vAlign w:val="center"/>
            <w:hideMark/>
          </w:tcPr>
          <w:p w:rsidR="000F3054" w:rsidRDefault="000F3054">
            <w:pPr>
              <w:jc w:val="center"/>
              <w:rPr>
                <w:rFonts w:ascii="宋体" w:hAnsi="宋体" w:cs="宋体"/>
                <w:sz w:val="20"/>
                <w:szCs w:val="20"/>
              </w:rPr>
            </w:pPr>
            <w:r>
              <w:rPr>
                <w:rFonts w:hint="eastAsia"/>
                <w:sz w:val="20"/>
                <w:szCs w:val="20"/>
              </w:rPr>
              <w:t>补贴发放率</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发放个人生活补贴发放完成率</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工资发放计划方案</w:t>
            </w:r>
          </w:p>
        </w:tc>
      </w:tr>
      <w:tr w:rsidR="000F3054" w:rsidTr="00B84BDC">
        <w:trPr>
          <w:trHeight w:val="978"/>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经济效益</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保证新区建设能力水平</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促进雄安新区新区建设能力，与廊坊市的沟通交流</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挂职生活待遇的函及批示</w:t>
            </w:r>
          </w:p>
        </w:tc>
      </w:tr>
      <w:tr w:rsidR="000F3054" w:rsidTr="00B84BDC">
        <w:trPr>
          <w:trHeight w:val="836"/>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可持续影响</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落实好挂职期间的各项生活待遇</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提高服务新区建设能力的水平，为新区建设前沿阵地培养锻炼干部</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100</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挂职生活待遇的函</w:t>
            </w:r>
          </w:p>
        </w:tc>
      </w:tr>
      <w:tr w:rsidR="000F3054" w:rsidTr="00B84BDC">
        <w:trPr>
          <w:trHeight w:val="705"/>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新区满意度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雄安新区对赴雄安新区挂职干部工作的满意度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往年经验</w:t>
            </w:r>
          </w:p>
        </w:tc>
      </w:tr>
      <w:tr w:rsidR="000F3054" w:rsidTr="00B84BDC">
        <w:trPr>
          <w:trHeight w:val="702"/>
        </w:trPr>
        <w:tc>
          <w:tcPr>
            <w:tcW w:w="0" w:type="auto"/>
            <w:vMerge/>
            <w:vAlign w:val="center"/>
            <w:hideMark/>
          </w:tcPr>
          <w:p w:rsidR="000F3054" w:rsidRDefault="000F3054">
            <w:pPr>
              <w:rPr>
                <w:rFonts w:ascii="仿宋_GB2312" w:eastAsia="仿宋_GB2312" w:hAnsi="宋体" w:cs="宋体"/>
                <w:sz w:val="24"/>
                <w:szCs w:val="24"/>
              </w:rPr>
            </w:pP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满意度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服务对象满意度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接受赴雄安新区挂职干部生活待遇所提供服务的满意程度</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95</w:t>
            </w:r>
          </w:p>
        </w:tc>
        <w:tc>
          <w:tcPr>
            <w:tcW w:w="0" w:type="auto"/>
            <w:shd w:val="clear" w:color="auto" w:fill="auto"/>
            <w:vAlign w:val="center"/>
            <w:hideMark/>
          </w:tcPr>
          <w:p w:rsidR="000F3054" w:rsidRDefault="000F3054">
            <w:pPr>
              <w:jc w:val="center"/>
              <w:rPr>
                <w:rFonts w:ascii="仿宋_GB2312" w:eastAsia="仿宋_GB2312" w:hAnsi="宋体" w:cs="宋体"/>
                <w:sz w:val="20"/>
                <w:szCs w:val="20"/>
              </w:rPr>
            </w:pPr>
            <w:r>
              <w:rPr>
                <w:rFonts w:ascii="仿宋_GB2312" w:eastAsia="仿宋_GB2312" w:hint="eastAsia"/>
                <w:sz w:val="20"/>
                <w:szCs w:val="20"/>
              </w:rPr>
              <w:t>百分比</w:t>
            </w:r>
          </w:p>
        </w:tc>
        <w:tc>
          <w:tcPr>
            <w:tcW w:w="0" w:type="auto"/>
            <w:shd w:val="clear" w:color="auto" w:fill="auto"/>
            <w:vAlign w:val="center"/>
            <w:hideMark/>
          </w:tcPr>
          <w:p w:rsidR="000F3054" w:rsidRDefault="000F3054">
            <w:pPr>
              <w:rPr>
                <w:rFonts w:ascii="仿宋_GB2312" w:eastAsia="仿宋_GB2312" w:hAnsi="宋体" w:cs="宋体"/>
                <w:sz w:val="20"/>
                <w:szCs w:val="20"/>
              </w:rPr>
            </w:pPr>
            <w:r>
              <w:rPr>
                <w:rFonts w:ascii="仿宋_GB2312" w:eastAsia="仿宋_GB2312" w:hint="eastAsia"/>
                <w:sz w:val="20"/>
                <w:szCs w:val="20"/>
              </w:rPr>
              <w:t>经验标准</w:t>
            </w:r>
          </w:p>
        </w:tc>
      </w:tr>
    </w:tbl>
    <w:p w:rsidR="00D913AF" w:rsidRPr="00EF53AC" w:rsidRDefault="005E3277" w:rsidP="00EF53AC">
      <w:pPr>
        <w:ind w:firstLineChars="200" w:firstLine="560"/>
        <w:jc w:val="left"/>
        <w:outlineLvl w:val="1"/>
        <w:rPr>
          <w:rFonts w:ascii="Times New Roman" w:eastAsia="仿宋_GB2312" w:hAnsi="Times New Roman" w:cs="Times New Roman" w:hint="eastAsia"/>
          <w:sz w:val="28"/>
        </w:rPr>
      </w:pPr>
      <w:r w:rsidRPr="00EF53AC">
        <w:rPr>
          <w:rFonts w:ascii="Times New Roman" w:eastAsia="仿宋_GB2312" w:hAnsi="Times New Roman" w:cs="Times New Roman" w:hint="eastAsia"/>
          <w:sz w:val="28"/>
        </w:rPr>
        <w:t>9.</w:t>
      </w:r>
      <w:r w:rsidRPr="00EF53AC">
        <w:rPr>
          <w:rFonts w:ascii="Times New Roman" w:eastAsia="仿宋_GB2312" w:hAnsi="Times New Roman" w:cs="Times New Roman" w:hint="eastAsia"/>
          <w:sz w:val="28"/>
        </w:rPr>
        <w:t>新桥环保科技产业园环境治理资金绩效目标</w:t>
      </w:r>
      <w:r w:rsidR="00EF53AC" w:rsidRPr="00EF53AC">
        <w:rPr>
          <w:rFonts w:ascii="Times New Roman" w:eastAsia="仿宋_GB2312" w:hAnsi="Times New Roman" w:cs="Times New Roman" w:hint="eastAsia"/>
          <w:sz w:val="28"/>
        </w:rPr>
        <w:t>表</w:t>
      </w:r>
    </w:p>
    <w:tbl>
      <w:tblPr>
        <w:tblW w:w="0" w:type="auto"/>
        <w:tblInd w:w="93" w:type="dxa"/>
        <w:tblLook w:val="04A0"/>
      </w:tblPr>
      <w:tblGrid>
        <w:gridCol w:w="1216"/>
        <w:gridCol w:w="2016"/>
        <w:gridCol w:w="3151"/>
        <w:gridCol w:w="3738"/>
        <w:gridCol w:w="611"/>
        <w:gridCol w:w="816"/>
        <w:gridCol w:w="1787"/>
        <w:gridCol w:w="1587"/>
      </w:tblGrid>
      <w:tr w:rsidR="005E3277" w:rsidRPr="005E3277" w:rsidTr="005E327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3277" w:rsidRPr="005E3277" w:rsidRDefault="005E3277" w:rsidP="005E3277">
            <w:pPr>
              <w:widowControl/>
              <w:jc w:val="center"/>
              <w:rPr>
                <w:rFonts w:ascii="仿宋_GB2312" w:eastAsia="仿宋_GB2312" w:hAnsi="Tahoma" w:cs="Tahoma"/>
                <w:kern w:val="0"/>
                <w:sz w:val="24"/>
                <w:szCs w:val="24"/>
              </w:rPr>
            </w:pPr>
            <w:r w:rsidRPr="005E3277">
              <w:rPr>
                <w:rFonts w:ascii="仿宋_GB2312" w:eastAsia="仿宋_GB2312" w:hAnsi="Tahoma" w:cs="Tahoma" w:hint="eastAsia"/>
                <w:kern w:val="0"/>
                <w:sz w:val="24"/>
                <w:szCs w:val="24"/>
              </w:rPr>
              <w:t>绩效</w:t>
            </w:r>
            <w:r w:rsidRPr="005E3277">
              <w:rPr>
                <w:rFonts w:ascii="Times New Roman" w:eastAsia="仿宋_GB2312" w:hAnsi="Times New Roman" w:cs="Times New Roman"/>
                <w:kern w:val="0"/>
                <w:sz w:val="24"/>
                <w:szCs w:val="24"/>
              </w:rPr>
              <w:br/>
            </w:r>
            <w:r w:rsidRPr="005E3277">
              <w:rPr>
                <w:rFonts w:ascii="仿宋_GB2312" w:eastAsia="仿宋_GB2312" w:hAnsi="Tahoma" w:cs="Tahoma" w:hint="eastAsia"/>
                <w:kern w:val="0"/>
                <w:sz w:val="24"/>
                <w:szCs w:val="24"/>
              </w:rPr>
              <w:t>目标</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5E3277">
            <w:pPr>
              <w:widowControl/>
              <w:jc w:val="left"/>
              <w:rPr>
                <w:rFonts w:ascii="仿宋_GB2312" w:eastAsia="仿宋_GB2312" w:hAnsi="Tahoma" w:cs="Tahoma"/>
                <w:kern w:val="0"/>
                <w:sz w:val="20"/>
                <w:szCs w:val="20"/>
              </w:rPr>
            </w:pPr>
            <w:r w:rsidRPr="005E3277">
              <w:rPr>
                <w:rFonts w:ascii="仿宋_GB2312" w:eastAsia="仿宋_GB2312" w:hAnsi="Tahoma" w:cs="Tahoma" w:hint="eastAsia"/>
                <w:kern w:val="0"/>
                <w:sz w:val="20"/>
                <w:szCs w:val="20"/>
              </w:rPr>
              <w:t>有效改善园区生态环境，满足园区发展需要</w:t>
            </w:r>
          </w:p>
        </w:tc>
      </w:tr>
      <w:tr w:rsidR="005E3277" w:rsidRPr="005E3277" w:rsidTr="005E3277">
        <w:trPr>
          <w:trHeight w:val="28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一级指标</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二级指标</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三级指标</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指标说明</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指标值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指标确定依据</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符号</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值</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单位（文字描述）</w:t>
            </w:r>
          </w:p>
        </w:tc>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r>
      <w:tr w:rsidR="005E3277" w:rsidRPr="005E3277" w:rsidTr="005E3277">
        <w:trPr>
          <w:trHeight w:val="4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产出指标</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数量指标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环境整治任务量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环境整治落实到位情况</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right"/>
              <w:rPr>
                <w:rFonts w:ascii="仿宋_GB2312" w:eastAsia="仿宋_GB2312"/>
                <w:sz w:val="20"/>
                <w:szCs w:val="20"/>
              </w:rPr>
            </w:pPr>
            <w:r w:rsidRPr="005E3277">
              <w:rPr>
                <w:rFonts w:ascii="仿宋_GB2312" w:eastAsia="仿宋_GB2312" w:hint="eastAsia"/>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政府批复</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质量指标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环境整治效果</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整体环境提升，人居生活大大提高</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政府批复</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时效指标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环境整治规定期限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按照规定起先完成环境整治步骤</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政府批复</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成本指标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环境整治所需费用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所需资金实施到位</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28.20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万元</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政府批复</w:t>
            </w:r>
          </w:p>
        </w:tc>
      </w:tr>
      <w:tr w:rsidR="005E3277" w:rsidRPr="005E3277" w:rsidTr="005E3277">
        <w:trPr>
          <w:trHeight w:val="4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效益指标</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社会效益指标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居民生活水平提高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改善整体环境，方便群众出行</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right"/>
              <w:rPr>
                <w:rFonts w:ascii="仿宋_GB2312" w:eastAsia="仿宋_GB2312"/>
                <w:sz w:val="20"/>
                <w:szCs w:val="20"/>
              </w:rPr>
            </w:pPr>
            <w:r w:rsidRPr="005E3277">
              <w:rPr>
                <w:rFonts w:ascii="仿宋_GB2312" w:eastAsia="仿宋_GB2312" w:hint="eastAsia"/>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实施计划</w:t>
            </w:r>
          </w:p>
        </w:tc>
      </w:tr>
      <w:tr w:rsidR="005E3277" w:rsidRPr="005E3277" w:rsidTr="005E3277">
        <w:trPr>
          <w:trHeight w:val="675"/>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经济效益指标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带动园区经济发展，促进招商引资</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吸引更多投资者，促进园区发展</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工程质量评定表</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生态效益指标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整体环境提升</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改善整体环境，方便群众出行</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&gt;=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98.00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验收标准</w:t>
            </w:r>
          </w:p>
        </w:tc>
      </w:tr>
      <w:tr w:rsidR="005E3277" w:rsidRPr="005E3277" w:rsidTr="005E3277">
        <w:trPr>
          <w:trHeight w:val="450"/>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可持续影响指标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保证人民所处环境优越</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体现政策导向，长期保障工作平稳进行。</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&gt;=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95.00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实施计划</w:t>
            </w:r>
          </w:p>
        </w:tc>
      </w:tr>
      <w:tr w:rsidR="005E3277" w:rsidRPr="005E3277" w:rsidTr="005E3277">
        <w:trPr>
          <w:trHeight w:val="28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满意度指标</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服务对象满意度指标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群众满意度</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对周边环境调查问卷满意度</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&gt;=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right"/>
              <w:rPr>
                <w:rFonts w:ascii="仿宋_GB2312" w:eastAsia="仿宋_GB2312"/>
                <w:sz w:val="20"/>
                <w:szCs w:val="20"/>
              </w:rPr>
            </w:pPr>
            <w:r w:rsidRPr="005E3277">
              <w:rPr>
                <w:rFonts w:ascii="仿宋_GB2312" w:eastAsia="仿宋_GB2312" w:hint="eastAsia"/>
                <w:sz w:val="20"/>
                <w:szCs w:val="20"/>
              </w:rPr>
              <w:t>98.00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left"/>
              <w:rPr>
                <w:rFonts w:ascii="仿宋_GB2312" w:eastAsia="仿宋_GB2312"/>
                <w:sz w:val="20"/>
                <w:szCs w:val="20"/>
              </w:rPr>
            </w:pPr>
            <w:r w:rsidRPr="005E3277">
              <w:rPr>
                <w:rFonts w:ascii="仿宋_GB2312" w:eastAsia="仿宋_GB2312" w:hint="eastAsia"/>
                <w:sz w:val="20"/>
                <w:szCs w:val="20"/>
              </w:rPr>
              <w:t>走访调查</w:t>
            </w:r>
          </w:p>
        </w:tc>
      </w:tr>
      <w:tr w:rsidR="005E3277" w:rsidRPr="005E3277" w:rsidTr="005E3277">
        <w:trPr>
          <w:trHeight w:val="285"/>
        </w:trPr>
        <w:tc>
          <w:tcPr>
            <w:tcW w:w="0" w:type="auto"/>
            <w:vMerge/>
            <w:tcBorders>
              <w:top w:val="nil"/>
              <w:left w:val="single" w:sz="4" w:space="0" w:color="auto"/>
              <w:bottom w:val="single" w:sz="4" w:space="0" w:color="auto"/>
              <w:right w:val="single" w:sz="4" w:space="0" w:color="auto"/>
            </w:tcBorders>
            <w:vAlign w:val="center"/>
            <w:hideMark/>
          </w:tcPr>
          <w:p w:rsidR="005E3277" w:rsidRPr="005E3277" w:rsidRDefault="005E3277" w:rsidP="00EF53AC">
            <w:pPr>
              <w:jc w:val="center"/>
              <w:rPr>
                <w:rFonts w:ascii="仿宋_GB2312" w:eastAsia="仿宋_GB2312"/>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服务对象满意度指标</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群众满意度</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走访调查</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&gt;=</w:t>
            </w:r>
          </w:p>
        </w:tc>
        <w:tc>
          <w:tcPr>
            <w:tcW w:w="0" w:type="auto"/>
            <w:tcBorders>
              <w:top w:val="nil"/>
              <w:left w:val="nil"/>
              <w:bottom w:val="single" w:sz="4" w:space="0" w:color="auto"/>
              <w:right w:val="single" w:sz="4" w:space="0" w:color="auto"/>
            </w:tcBorders>
            <w:shd w:val="clear" w:color="auto" w:fill="auto"/>
            <w:noWrap/>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98.00</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百分比</w:t>
            </w:r>
          </w:p>
        </w:tc>
        <w:tc>
          <w:tcPr>
            <w:tcW w:w="0" w:type="auto"/>
            <w:tcBorders>
              <w:top w:val="nil"/>
              <w:left w:val="nil"/>
              <w:bottom w:val="single" w:sz="4" w:space="0" w:color="auto"/>
              <w:right w:val="single" w:sz="4" w:space="0" w:color="auto"/>
            </w:tcBorders>
            <w:shd w:val="clear" w:color="auto" w:fill="auto"/>
            <w:vAlign w:val="center"/>
            <w:hideMark/>
          </w:tcPr>
          <w:p w:rsidR="005E3277" w:rsidRPr="005E3277" w:rsidRDefault="005E3277" w:rsidP="00EF53AC">
            <w:pPr>
              <w:jc w:val="center"/>
              <w:rPr>
                <w:rFonts w:ascii="仿宋_GB2312" w:eastAsia="仿宋_GB2312"/>
                <w:sz w:val="20"/>
                <w:szCs w:val="20"/>
              </w:rPr>
            </w:pPr>
            <w:r w:rsidRPr="005E3277">
              <w:rPr>
                <w:rFonts w:ascii="仿宋_GB2312" w:eastAsia="仿宋_GB2312" w:hint="eastAsia"/>
                <w:sz w:val="20"/>
                <w:szCs w:val="20"/>
              </w:rPr>
              <w:t>实地走访</w:t>
            </w:r>
          </w:p>
        </w:tc>
      </w:tr>
    </w:tbl>
    <w:p w:rsidR="005E3277" w:rsidRDefault="005E3277" w:rsidP="00D913AF">
      <w:pPr>
        <w:autoSpaceDE w:val="0"/>
        <w:autoSpaceDN w:val="0"/>
        <w:adjustRightInd w:val="0"/>
        <w:spacing w:line="584" w:lineRule="exact"/>
        <w:jc w:val="left"/>
        <w:rPr>
          <w:rFonts w:ascii="Times New Roman" w:eastAsia="黑体" w:hAnsi="Times New Roman" w:cs="Times New Roman"/>
          <w:sz w:val="32"/>
          <w:szCs w:val="32"/>
        </w:rPr>
      </w:pP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六、政府采购预算情况</w:t>
      </w:r>
    </w:p>
    <w:p w:rsidR="00D347CC" w:rsidRDefault="00B80935">
      <w:pPr>
        <w:spacing w:line="584" w:lineRule="exact"/>
        <w:ind w:firstLineChars="200" w:firstLine="640"/>
        <w:outlineLvl w:val="0"/>
        <w:rPr>
          <w:rFonts w:ascii="Times New Roman" w:eastAsia="仿宋_GB2312" w:hAnsi="Times New Roman" w:cs="Times New Roman"/>
          <w:sz w:val="32"/>
          <w:szCs w:val="24"/>
        </w:rPr>
      </w:pPr>
      <w:bookmarkStart w:id="2" w:name="_Toc471398468"/>
      <w:r>
        <w:rPr>
          <w:rFonts w:ascii="Times New Roman" w:eastAsia="仿宋_GB2312" w:hAnsi="Times New Roman" w:cs="Times New Roman"/>
          <w:sz w:val="32"/>
          <w:szCs w:val="24"/>
        </w:rPr>
        <w:t>20</w:t>
      </w:r>
      <w:r>
        <w:rPr>
          <w:rFonts w:ascii="Times New Roman" w:eastAsia="仿宋_GB2312" w:hAnsi="Times New Roman" w:cs="Times New Roman" w:hint="eastAsia"/>
          <w:sz w:val="32"/>
          <w:szCs w:val="24"/>
        </w:rPr>
        <w:t>21</w:t>
      </w:r>
      <w:r>
        <w:rPr>
          <w:rFonts w:ascii="Times New Roman" w:eastAsia="仿宋_GB2312" w:hAnsi="Times New Roman" w:cs="Times New Roman"/>
          <w:sz w:val="32"/>
          <w:szCs w:val="24"/>
        </w:rPr>
        <w:t>年，我</w:t>
      </w:r>
      <w:r w:rsidR="00C0392A">
        <w:rPr>
          <w:rFonts w:ascii="Times New Roman" w:eastAsia="仿宋_GB2312" w:hAnsi="Times New Roman" w:cs="Times New Roman" w:hint="eastAsia"/>
          <w:sz w:val="32"/>
          <w:szCs w:val="24"/>
        </w:rPr>
        <w:t>单位</w:t>
      </w:r>
      <w:r>
        <w:rPr>
          <w:rFonts w:ascii="Times New Roman" w:eastAsia="仿宋_GB2312" w:hAnsi="Times New Roman" w:cs="Times New Roman"/>
          <w:sz w:val="32"/>
          <w:szCs w:val="24"/>
        </w:rPr>
        <w:t>安排政府采购预算</w:t>
      </w:r>
      <w:r w:rsidR="00111385">
        <w:rPr>
          <w:rFonts w:ascii="Times New Roman" w:eastAsia="仿宋_GB2312" w:hAnsi="Times New Roman" w:cs="Times New Roman" w:hint="eastAsia"/>
          <w:sz w:val="32"/>
          <w:szCs w:val="24"/>
        </w:rPr>
        <w:t>0</w:t>
      </w:r>
      <w:r>
        <w:rPr>
          <w:rFonts w:ascii="Times New Roman" w:eastAsia="仿宋_GB2312" w:hAnsi="Times New Roman" w:cs="Times New Roman"/>
          <w:sz w:val="32"/>
          <w:szCs w:val="24"/>
        </w:rPr>
        <w:t>万元。具体内容见下表。</w:t>
      </w:r>
    </w:p>
    <w:bookmarkEnd w:id="2"/>
    <w:p w:rsidR="00D347CC" w:rsidRDefault="00D347CC">
      <w:pPr>
        <w:spacing w:line="584" w:lineRule="exact"/>
        <w:jc w:val="left"/>
        <w:outlineLvl w:val="0"/>
        <w:rPr>
          <w:rFonts w:ascii="Times New Roman" w:eastAsia="仿宋_GB2312" w:hAnsi="Times New Roman" w:cs="Times New Roman"/>
        </w:rPr>
      </w:pPr>
    </w:p>
    <w:p w:rsidR="00D347CC" w:rsidRDefault="00B80935">
      <w:pPr>
        <w:jc w:val="center"/>
        <w:outlineLvl w:val="1"/>
        <w:rPr>
          <w:rFonts w:ascii="Times New Roman" w:hAnsi="Times New Roman" w:cs="Times New Roman"/>
          <w:sz w:val="32"/>
        </w:rPr>
      </w:pPr>
      <w:bookmarkStart w:id="3" w:name="_Toc64920910"/>
      <w:r>
        <w:rPr>
          <w:rFonts w:ascii="方正小标宋_GBK" w:eastAsia="方正小标宋_GBK" w:cs="Times New Roman" w:hint="eastAsia"/>
          <w:sz w:val="32"/>
        </w:rPr>
        <w:t>部门政府采购预算</w:t>
      </w:r>
      <w:bookmarkEnd w:id="3"/>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D347CC">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D347CC" w:rsidRDefault="00B80935">
            <w:pPr>
              <w:spacing w:line="300" w:lineRule="exact"/>
              <w:jc w:val="left"/>
              <w:rPr>
                <w:rFonts w:ascii="方正小标宋_GBK" w:eastAsia="方正小标宋_GBK" w:cs="Times New Roman"/>
                <w:sz w:val="24"/>
              </w:rPr>
            </w:pPr>
            <w:r>
              <w:rPr>
                <w:rFonts w:ascii="方正小标宋_GBK" w:eastAsia="方正小标宋_GBK" w:hint="eastAsia"/>
                <w:sz w:val="24"/>
              </w:rPr>
              <w:t>***</w:t>
            </w:r>
            <w:r>
              <w:rPr>
                <w:rFonts w:ascii="方正小标宋_GBK" w:eastAsia="方正小标宋_GBK" w:cs="Times New Roman"/>
                <w:sz w:val="24"/>
              </w:rPr>
              <w:t>廊坊市</w:t>
            </w:r>
            <w:r>
              <w:rPr>
                <w:rFonts w:ascii="方正小标宋_GBK" w:eastAsia="方正小标宋_GBK" w:hint="eastAsia"/>
                <w:sz w:val="24"/>
              </w:rPr>
              <w:t>***</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D347CC" w:rsidRDefault="00B80935">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rsidR="00D347CC">
        <w:trPr>
          <w:cantSplit/>
          <w:tblHeader/>
          <w:jc w:val="center"/>
        </w:trPr>
        <w:tc>
          <w:tcPr>
            <w:tcW w:w="3118" w:type="dxa"/>
            <w:gridSpan w:val="2"/>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rsidR="00D347CC">
        <w:trPr>
          <w:cantSplit/>
          <w:tblHeader/>
          <w:jc w:val="center"/>
        </w:trPr>
        <w:tc>
          <w:tcPr>
            <w:tcW w:w="198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shd w:val="clear" w:color="auto" w:fill="auto"/>
            <w:vAlign w:val="center"/>
          </w:tcPr>
          <w:p w:rsidR="00D347CC" w:rsidRDefault="00D347CC"/>
        </w:tc>
        <w:tc>
          <w:tcPr>
            <w:tcW w:w="1531" w:type="dxa"/>
            <w:vMerge/>
            <w:shd w:val="clear" w:color="auto" w:fill="auto"/>
            <w:vAlign w:val="center"/>
          </w:tcPr>
          <w:p w:rsidR="00D347CC" w:rsidRDefault="00D347CC"/>
        </w:tc>
        <w:tc>
          <w:tcPr>
            <w:tcW w:w="709" w:type="dxa"/>
            <w:vMerge/>
            <w:shd w:val="clear" w:color="auto" w:fill="auto"/>
            <w:vAlign w:val="center"/>
          </w:tcPr>
          <w:p w:rsidR="00D347CC" w:rsidRDefault="00D347CC"/>
        </w:tc>
        <w:tc>
          <w:tcPr>
            <w:tcW w:w="907" w:type="dxa"/>
            <w:vMerge/>
            <w:shd w:val="clear" w:color="auto" w:fill="auto"/>
            <w:vAlign w:val="center"/>
          </w:tcPr>
          <w:p w:rsidR="00D347CC" w:rsidRDefault="00D347CC"/>
        </w:tc>
        <w:tc>
          <w:tcPr>
            <w:tcW w:w="907" w:type="dxa"/>
            <w:vMerge/>
            <w:shd w:val="clear" w:color="auto" w:fill="auto"/>
            <w:vAlign w:val="center"/>
          </w:tcPr>
          <w:p w:rsidR="00D347CC" w:rsidRDefault="00D347CC"/>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单位资金</w:t>
            </w:r>
          </w:p>
        </w:tc>
      </w:tr>
      <w:tr w:rsidR="00D347CC">
        <w:trPr>
          <w:cantSplit/>
          <w:jc w:val="center"/>
        </w:trPr>
        <w:tc>
          <w:tcPr>
            <w:tcW w:w="1984" w:type="dxa"/>
            <w:shd w:val="clear" w:color="auto" w:fill="auto"/>
            <w:vAlign w:val="center"/>
          </w:tcPr>
          <w:p w:rsidR="00D347CC" w:rsidRDefault="00B80935">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b/>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b/>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b/>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r>
      <w:tr w:rsidR="00D347CC">
        <w:trPr>
          <w:cantSplit/>
          <w:jc w:val="center"/>
        </w:trPr>
        <w:tc>
          <w:tcPr>
            <w:tcW w:w="1984" w:type="dxa"/>
            <w:shd w:val="clear" w:color="auto" w:fill="auto"/>
            <w:vAlign w:val="center"/>
          </w:tcPr>
          <w:p w:rsidR="00D347CC" w:rsidRDefault="00D347CC">
            <w:pPr>
              <w:spacing w:line="300" w:lineRule="exact"/>
              <w:jc w:val="center"/>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b/>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b/>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b/>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b/>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r w:rsidR="00D347CC">
        <w:trPr>
          <w:cantSplit/>
          <w:jc w:val="center"/>
        </w:trPr>
        <w:tc>
          <w:tcPr>
            <w:tcW w:w="1984" w:type="dxa"/>
            <w:shd w:val="clear" w:color="auto" w:fill="auto"/>
            <w:vAlign w:val="center"/>
          </w:tcPr>
          <w:p w:rsidR="00D347CC" w:rsidRDefault="00D347CC">
            <w:pPr>
              <w:spacing w:line="300" w:lineRule="exact"/>
              <w:jc w:val="lef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1531" w:type="dxa"/>
            <w:shd w:val="clear" w:color="auto" w:fill="auto"/>
            <w:vAlign w:val="center"/>
          </w:tcPr>
          <w:p w:rsidR="00D347CC" w:rsidRDefault="00D347CC">
            <w:pPr>
              <w:spacing w:line="300" w:lineRule="exact"/>
              <w:jc w:val="left"/>
              <w:rPr>
                <w:rFonts w:ascii="方正书宋_GBK" w:eastAsia="方正书宋_GBK" w:cs="Times New Roman"/>
              </w:rPr>
            </w:pPr>
          </w:p>
        </w:tc>
        <w:tc>
          <w:tcPr>
            <w:tcW w:w="709" w:type="dxa"/>
            <w:shd w:val="clear" w:color="auto" w:fill="auto"/>
            <w:vAlign w:val="center"/>
          </w:tcPr>
          <w:p w:rsidR="00D347CC" w:rsidRDefault="00D347CC">
            <w:pPr>
              <w:spacing w:line="300" w:lineRule="exact"/>
              <w:jc w:val="center"/>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907"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c>
          <w:tcPr>
            <w:tcW w:w="1134" w:type="dxa"/>
            <w:shd w:val="clear" w:color="auto" w:fill="auto"/>
            <w:vAlign w:val="center"/>
          </w:tcPr>
          <w:p w:rsidR="00D347CC" w:rsidRDefault="00D347CC">
            <w:pPr>
              <w:spacing w:line="300" w:lineRule="exact"/>
              <w:jc w:val="right"/>
              <w:rPr>
                <w:rFonts w:ascii="方正书宋_GBK" w:eastAsia="方正书宋_GBK" w:cs="Times New Roman"/>
              </w:rPr>
            </w:pPr>
          </w:p>
        </w:tc>
      </w:tr>
    </w:tbl>
    <w:p w:rsidR="00D347CC" w:rsidRDefault="00D347CC">
      <w:pPr>
        <w:spacing w:line="584" w:lineRule="exact"/>
        <w:jc w:val="left"/>
        <w:outlineLvl w:val="0"/>
        <w:rPr>
          <w:rFonts w:ascii="Times New Roman" w:eastAsia="仿宋_GB2312" w:hAnsi="Times New Roman" w:cs="Times New Roman"/>
        </w:rPr>
        <w:sectPr w:rsidR="00D347CC">
          <w:footerReference w:type="default" r:id="rId7"/>
          <w:pgSz w:w="16839" w:h="11907" w:orient="landscape"/>
          <w:pgMar w:top="1361" w:right="1020" w:bottom="1361" w:left="1020" w:header="851" w:footer="992" w:gutter="0"/>
          <w:cols w:space="720"/>
          <w:docGrid w:type="lines" w:linePitch="312"/>
        </w:sectPr>
      </w:pP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七、国有资产信息</w:t>
      </w:r>
    </w:p>
    <w:p w:rsidR="00D347CC" w:rsidRPr="00C413A4" w:rsidRDefault="00C0392A" w:rsidP="00C413A4">
      <w:pPr>
        <w:spacing w:line="500" w:lineRule="exact"/>
        <w:ind w:firstLine="640"/>
        <w:rPr>
          <w:rFonts w:ascii="仿宋" w:eastAsia="仿宋" w:hAnsi="仿宋"/>
          <w:sz w:val="32"/>
          <w:szCs w:val="32"/>
        </w:rPr>
      </w:pPr>
      <w:r>
        <w:rPr>
          <w:rFonts w:ascii="Times New Roman" w:eastAsia="仿宋_GB2312" w:hAnsi="Times New Roman" w:cs="Times New Roman" w:hint="eastAsia"/>
          <w:sz w:val="32"/>
          <w:szCs w:val="32"/>
        </w:rPr>
        <w:t>河北文安经济开发区新桥环保科技产业园</w:t>
      </w:r>
      <w:r w:rsidR="00B80935">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222.29</w:t>
      </w:r>
      <w:r w:rsidR="00B80935">
        <w:rPr>
          <w:rFonts w:ascii="Times New Roman" w:eastAsia="仿宋_GB2312" w:hAnsi="Times New Roman" w:cs="Times New Roman"/>
          <w:sz w:val="32"/>
          <w:szCs w:val="32"/>
        </w:rPr>
        <w:t>万元</w:t>
      </w:r>
      <w:r w:rsidR="00B80935">
        <w:rPr>
          <w:rFonts w:ascii="Times New Roman" w:eastAsia="仿宋_GB2312" w:hAnsi="Times New Roman" w:cs="Times New Roman" w:hint="eastAsia"/>
          <w:sz w:val="32"/>
          <w:szCs w:val="32"/>
        </w:rPr>
        <w:t>（详见下表）</w:t>
      </w:r>
      <w:r w:rsidR="00B80935">
        <w:rPr>
          <w:rFonts w:ascii="Times New Roman" w:eastAsia="仿宋_GB2312" w:hAnsi="Times New Roman" w:cs="Times New Roman"/>
          <w:sz w:val="32"/>
          <w:szCs w:val="32"/>
        </w:rPr>
        <w:t>，</w:t>
      </w:r>
      <w:r w:rsidR="00C413A4" w:rsidRPr="00076548">
        <w:rPr>
          <w:rFonts w:ascii="仿宋" w:eastAsia="仿宋" w:hAnsi="仿宋" w:cs="仿宋" w:hint="eastAsia"/>
          <w:color w:val="333333"/>
          <w:sz w:val="32"/>
          <w:szCs w:val="32"/>
          <w:shd w:val="clear" w:color="auto" w:fill="FFFFFF"/>
        </w:rPr>
        <w:t>本年度我单位无拟购置固定资产</w:t>
      </w:r>
      <w:r w:rsidR="00C413A4" w:rsidRPr="00076548">
        <w:rPr>
          <w:rFonts w:ascii="仿宋" w:eastAsia="仿宋" w:hAnsi="仿宋"/>
          <w:sz w:val="32"/>
          <w:szCs w:val="32"/>
        </w:rPr>
        <w:t>。</w:t>
      </w:r>
    </w:p>
    <w:tbl>
      <w:tblPr>
        <w:tblW w:w="13325" w:type="dxa"/>
        <w:tblInd w:w="93" w:type="dxa"/>
        <w:tblLook w:val="0000"/>
      </w:tblPr>
      <w:tblGrid>
        <w:gridCol w:w="5224"/>
        <w:gridCol w:w="3155"/>
        <w:gridCol w:w="5103"/>
      </w:tblGrid>
      <w:tr w:rsidR="00D347CC">
        <w:trPr>
          <w:trHeight w:val="705"/>
        </w:trPr>
        <w:tc>
          <w:tcPr>
            <w:tcW w:w="13482" w:type="dxa"/>
            <w:gridSpan w:val="3"/>
            <w:tcBorders>
              <w:top w:val="nil"/>
              <w:left w:val="nil"/>
              <w:bottom w:val="nil"/>
              <w:right w:val="nil"/>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廊坊市市直部门固定资产占用情况表</w:t>
            </w:r>
          </w:p>
        </w:tc>
      </w:tr>
      <w:tr w:rsidR="00D347CC">
        <w:trPr>
          <w:trHeight w:val="510"/>
        </w:trPr>
        <w:tc>
          <w:tcPr>
            <w:tcW w:w="8379" w:type="dxa"/>
            <w:gridSpan w:val="2"/>
            <w:tcBorders>
              <w:top w:val="nil"/>
              <w:left w:val="nil"/>
              <w:bottom w:val="nil"/>
              <w:right w:val="nil"/>
            </w:tcBorders>
            <w:shd w:val="clear" w:color="auto" w:fill="auto"/>
            <w:noWrap/>
            <w:vAlign w:val="center"/>
          </w:tcPr>
          <w:p w:rsidR="00D347CC" w:rsidRDefault="00B8093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编制部门：廊坊市</w:t>
            </w:r>
            <w:r>
              <w:rPr>
                <w:rFonts w:ascii="Times New Roman" w:eastAsia="仿宋_GB2312" w:hAnsi="Times New Roman" w:cs="Times New Roman" w:hint="eastAsia"/>
                <w:kern w:val="0"/>
                <w:sz w:val="22"/>
              </w:rPr>
              <w:t>***</w:t>
            </w:r>
          </w:p>
        </w:tc>
        <w:tc>
          <w:tcPr>
            <w:tcW w:w="5103" w:type="dxa"/>
            <w:tcBorders>
              <w:top w:val="nil"/>
              <w:left w:val="nil"/>
              <w:bottom w:val="nil"/>
              <w:right w:val="nil"/>
            </w:tcBorders>
            <w:shd w:val="clear" w:color="auto" w:fill="auto"/>
            <w:noWrap/>
            <w:vAlign w:val="center"/>
          </w:tcPr>
          <w:p w:rsidR="00D347CC" w:rsidRDefault="00B80935">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kern w:val="0"/>
                <w:sz w:val="22"/>
              </w:rPr>
              <w:t>截止时间：</w:t>
            </w:r>
            <w:r>
              <w:rPr>
                <w:rFonts w:ascii="Times New Roman" w:eastAsia="仿宋_GB2312" w:hAnsi="Times New Roman" w:cs="Times New Roman"/>
                <w:kern w:val="0"/>
                <w:sz w:val="22"/>
              </w:rPr>
              <w:t>20</w:t>
            </w:r>
            <w:r>
              <w:rPr>
                <w:rFonts w:ascii="Times New Roman" w:eastAsia="仿宋_GB2312" w:hAnsi="Times New Roman" w:cs="Times New Roman" w:hint="eastAsia"/>
                <w:kern w:val="0"/>
                <w:sz w:val="22"/>
              </w:rPr>
              <w:t>20</w:t>
            </w:r>
            <w:r>
              <w:rPr>
                <w:rFonts w:ascii="Times New Roman" w:eastAsia="仿宋_GB2312" w:hAnsi="Times New Roman" w:cs="Times New Roman"/>
                <w:kern w:val="0"/>
                <w:sz w:val="22"/>
              </w:rPr>
              <w:t>年</w:t>
            </w:r>
            <w:r>
              <w:rPr>
                <w:rFonts w:ascii="Times New Roman" w:eastAsia="仿宋_GB2312" w:hAnsi="Times New Roman" w:cs="Times New Roman"/>
                <w:kern w:val="0"/>
                <w:sz w:val="22"/>
              </w:rPr>
              <w:t>12</w:t>
            </w:r>
            <w:r>
              <w:rPr>
                <w:rFonts w:ascii="Times New Roman" w:eastAsia="仿宋_GB2312" w:hAnsi="Times New Roman" w:cs="Times New Roman"/>
                <w:kern w:val="0"/>
                <w:sz w:val="22"/>
              </w:rPr>
              <w:t>月</w:t>
            </w:r>
            <w:r>
              <w:rPr>
                <w:rFonts w:ascii="Times New Roman" w:eastAsia="仿宋_GB2312" w:hAnsi="Times New Roman" w:cs="Times New Roman"/>
                <w:kern w:val="0"/>
                <w:sz w:val="22"/>
              </w:rPr>
              <w:t>31</w:t>
            </w:r>
            <w:r>
              <w:rPr>
                <w:rFonts w:ascii="Times New Roman" w:eastAsia="仿宋_GB2312" w:hAnsi="Times New Roman" w:cs="Times New Roman"/>
                <w:kern w:val="0"/>
                <w:sz w:val="22"/>
              </w:rPr>
              <w:t>日</w:t>
            </w:r>
            <w:r>
              <w:rPr>
                <w:rFonts w:ascii="Times New Roman" w:eastAsia="仿宋_GB2312" w:hAnsi="Times New Roman" w:cs="Times New Roman"/>
                <w:kern w:val="0"/>
                <w:sz w:val="22"/>
              </w:rPr>
              <w:t xml:space="preserve">  </w:t>
            </w:r>
          </w:p>
        </w:tc>
      </w:tr>
      <w:tr w:rsidR="00D347CC">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项</w:t>
            </w:r>
            <w:r>
              <w:rPr>
                <w:rFonts w:ascii="Times New Roman" w:eastAsia="仿宋_GB2312" w:hAnsi="Times New Roman" w:cs="Times New Roman"/>
                <w:b/>
                <w:bCs/>
                <w:kern w:val="0"/>
                <w:sz w:val="22"/>
              </w:rPr>
              <w:t xml:space="preserve">   </w:t>
            </w:r>
            <w:r>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b/>
                <w:bCs/>
                <w:kern w:val="0"/>
                <w:sz w:val="22"/>
              </w:rPr>
            </w:pPr>
            <w:r>
              <w:rPr>
                <w:rFonts w:ascii="Times New Roman" w:eastAsia="仿宋_GB2312" w:hAnsi="Times New Roman" w:cs="Times New Roman"/>
                <w:b/>
                <w:bCs/>
                <w:kern w:val="0"/>
                <w:sz w:val="22"/>
              </w:rPr>
              <w:t>价值（金额单位：万元）</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B80935">
            <w:pPr>
              <w:spacing w:line="584" w:lineRule="exact"/>
              <w:jc w:val="center"/>
              <w:rPr>
                <w:rFonts w:ascii="Times New Roman" w:eastAsia="仿宋_GB2312" w:hAnsi="Times New Roman" w:cs="Times New Roman"/>
                <w:sz w:val="22"/>
              </w:rPr>
            </w:pPr>
            <w:r>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C0392A">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222.29</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w:t>
            </w:r>
            <w:r>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9422E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1300</w:t>
            </w:r>
          </w:p>
        </w:tc>
        <w:tc>
          <w:tcPr>
            <w:tcW w:w="5103" w:type="dxa"/>
            <w:tcBorders>
              <w:top w:val="nil"/>
              <w:left w:val="nil"/>
              <w:bottom w:val="single" w:sz="4" w:space="0" w:color="auto"/>
              <w:right w:val="single" w:sz="4" w:space="0" w:color="auto"/>
            </w:tcBorders>
            <w:shd w:val="clear" w:color="auto" w:fill="auto"/>
            <w:noWrap/>
            <w:vAlign w:val="center"/>
          </w:tcPr>
          <w:p w:rsidR="00D347CC" w:rsidRDefault="009422E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105.97</w:t>
            </w: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2</w:t>
            </w:r>
            <w:r>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3</w:t>
            </w:r>
            <w:r>
              <w:rPr>
                <w:rFonts w:ascii="Times New Roman" w:eastAsia="仿宋_GB2312" w:hAnsi="Times New Roman" w:cs="Times New Roman"/>
                <w:kern w:val="0"/>
                <w:sz w:val="22"/>
              </w:rPr>
              <w:t>、单价在</w:t>
            </w:r>
            <w:r>
              <w:rPr>
                <w:rFonts w:ascii="Times New Roman" w:eastAsia="仿宋_GB2312" w:hAnsi="Times New Roman" w:cs="Times New Roman"/>
                <w:kern w:val="0"/>
                <w:sz w:val="22"/>
              </w:rPr>
              <w:t>20</w:t>
            </w:r>
            <w:r>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r>
      <w:tr w:rsidR="00D347CC">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tcPr>
          <w:p w:rsidR="00D347CC" w:rsidRDefault="00B80935">
            <w:pPr>
              <w:widowControl/>
              <w:spacing w:line="584" w:lineRule="exact"/>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4</w:t>
            </w:r>
            <w:r>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D347CC" w:rsidRDefault="00D347CC">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D347CC" w:rsidRDefault="009422E8">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116.32</w:t>
            </w:r>
          </w:p>
        </w:tc>
      </w:tr>
    </w:tbl>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八、名词解释</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、一般公共预算拨款收入：</w:t>
      </w:r>
      <w:r>
        <w:rPr>
          <w:rFonts w:ascii="Times New Roman" w:eastAsia="仿宋_GB2312" w:hAnsi="Times New Roman" w:cs="Times New Roman"/>
          <w:sz w:val="32"/>
          <w:szCs w:val="32"/>
        </w:rPr>
        <w:t>指省级财政当年拨付的资金。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、事业收入：</w:t>
      </w:r>
      <w:r>
        <w:rPr>
          <w:rFonts w:ascii="Times New Roman" w:eastAsia="仿宋_GB2312" w:hAnsi="Times New Roman" w:cs="Times New Roman"/>
          <w:sz w:val="32"/>
          <w:szCs w:val="32"/>
        </w:rPr>
        <w:t>指事业单位开展专业业务活动及辅助活动所取得的收入。</w:t>
      </w:r>
    </w:p>
    <w:p w:rsidR="00D347CC" w:rsidRDefault="00B80935" w:rsidP="004A54AA">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、其他收入：</w:t>
      </w:r>
      <w:r>
        <w:rPr>
          <w:rFonts w:ascii="Times New Roman" w:eastAsia="仿宋_GB2312" w:hAnsi="Times New Roman" w:cs="Times New Roman"/>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等以外的收入。主要是按规定动用的租房收入、存款利息收入等。</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、基本支出：</w:t>
      </w:r>
      <w:r>
        <w:rPr>
          <w:rFonts w:ascii="Times New Roman" w:eastAsia="仿宋_GB2312" w:hAnsi="Times New Roman" w:cs="Times New Roman"/>
          <w:sz w:val="32"/>
          <w:szCs w:val="32"/>
        </w:rPr>
        <w:t>指为保障机构正常运转、完成日常工作任务而发生的人员支出和公用支出。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、项目支出：</w:t>
      </w:r>
      <w:r>
        <w:rPr>
          <w:rFonts w:ascii="Times New Roman" w:eastAsia="仿宋_GB2312" w:hAnsi="Times New Roman" w:cs="Times New Roman"/>
          <w:sz w:val="32"/>
          <w:szCs w:val="32"/>
        </w:rPr>
        <w:t>指在基本支出之外为完成特定行政任务和事业发展目标所发生的支出。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、上缴上级支出：</w:t>
      </w:r>
      <w:r>
        <w:rPr>
          <w:rFonts w:ascii="Times New Roman" w:eastAsia="仿宋_GB2312" w:hAnsi="Times New Roman" w:cs="Times New Roman"/>
          <w:sz w:val="32"/>
          <w:szCs w:val="32"/>
        </w:rPr>
        <w:t>指下级单位上缴上级的支出。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经费：</w:t>
      </w:r>
      <w:r>
        <w:rPr>
          <w:rFonts w:ascii="Times New Roman" w:eastAsia="仿宋_GB2312" w:hAnsi="Times New Roman" w:cs="Times New Roman"/>
          <w:sz w:val="32"/>
          <w:szCs w:val="32"/>
        </w:rPr>
        <w:t>纳入省级财政预算管理的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、机关运行费：</w:t>
      </w:r>
      <w:r>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9</w:t>
      </w:r>
      <w:r>
        <w:rPr>
          <w:rFonts w:ascii="Times New Roman" w:eastAsia="仿宋_GB2312" w:hAnsi="Times New Roman" w:cs="Times New Roman"/>
          <w:b/>
          <w:sz w:val="32"/>
          <w:szCs w:val="32"/>
        </w:rPr>
        <w:t>、上年结转：</w:t>
      </w:r>
      <w:r>
        <w:rPr>
          <w:rFonts w:ascii="Times New Roman" w:eastAsia="仿宋_GB2312" w:hAnsi="Times New Roman" w:cs="Times New Roman"/>
          <w:sz w:val="32"/>
          <w:szCs w:val="32"/>
        </w:rPr>
        <w:t>指以前年度尚未完成、结转到本年仍按原规定用途继续使用的资金。</w:t>
      </w:r>
    </w:p>
    <w:p w:rsidR="00D347CC" w:rsidRDefault="00B80935" w:rsidP="004A54AA">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b/>
          <w:sz w:val="32"/>
          <w:szCs w:val="32"/>
        </w:rPr>
        <w:t>、事业单位经营支出：</w:t>
      </w:r>
      <w:r>
        <w:rPr>
          <w:rFonts w:ascii="Times New Roman" w:eastAsia="仿宋_GB2312" w:hAnsi="Times New Roman" w:cs="Times New Roman"/>
          <w:sz w:val="32"/>
          <w:szCs w:val="32"/>
        </w:rPr>
        <w:t>指事业单位在专业业务活动及其辅助活动之外开展非独立核算经营活动发生的支出。</w:t>
      </w:r>
    </w:p>
    <w:p w:rsidR="00D347CC" w:rsidRDefault="00B8093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九、其他需要说明的事项</w:t>
      </w:r>
    </w:p>
    <w:p w:rsidR="00D347CC" w:rsidRDefault="00B8093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我部门无其他需要说明的事项。</w:t>
      </w:r>
    </w:p>
    <w:sectPr w:rsidR="00D347CC" w:rsidSect="00D347CC">
      <w:pgSz w:w="16838" w:h="11906" w:orient="landscape"/>
      <w:pgMar w:top="1800" w:right="1440" w:bottom="1800" w:left="144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3E1" w:rsidRDefault="00CC13E1" w:rsidP="00D347CC">
      <w:r>
        <w:separator/>
      </w:r>
    </w:p>
  </w:endnote>
  <w:endnote w:type="continuationSeparator" w:id="0">
    <w:p w:rsidR="00CC13E1" w:rsidRDefault="00CC13E1" w:rsidP="00D34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hakuyoxingshu7000"/>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22" w:rsidRDefault="0034693B" w:rsidP="006A4B17">
    <w:pPr>
      <w:pStyle w:val="a4"/>
      <w:framePr w:wrap="around" w:vAnchor="text" w:hAnchor="margin" w:xAlign="outside" w:y="1"/>
      <w:rPr>
        <w:rStyle w:val="a9"/>
      </w:rPr>
    </w:pPr>
    <w:r>
      <w:rPr>
        <w:rStyle w:val="a9"/>
      </w:rPr>
      <w:fldChar w:fldCharType="begin"/>
    </w:r>
    <w:r w:rsidR="00921022">
      <w:rPr>
        <w:rStyle w:val="a9"/>
      </w:rPr>
      <w:instrText xml:space="preserve">PAGE  </w:instrText>
    </w:r>
    <w:r>
      <w:rPr>
        <w:rStyle w:val="a9"/>
      </w:rPr>
      <w:fldChar w:fldCharType="separate"/>
    </w:r>
    <w:r w:rsidR="005E3277">
      <w:rPr>
        <w:rStyle w:val="a9"/>
        <w:noProof/>
      </w:rPr>
      <w:t>4</w:t>
    </w:r>
    <w:r>
      <w:rPr>
        <w:rStyle w:val="a9"/>
      </w:rPr>
      <w:fldChar w:fldCharType="end"/>
    </w:r>
  </w:p>
  <w:p w:rsidR="00921022" w:rsidRDefault="00921022" w:rsidP="006A4B1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22" w:rsidRDefault="00921022">
    <w:pPr>
      <w:pStyle w:val="a4"/>
      <w:jc w:val="center"/>
    </w:pPr>
    <w:r>
      <w:rPr>
        <w:rFonts w:hint="eastAsia"/>
      </w:rPr>
      <w:t>-</w:t>
    </w:r>
    <w:r w:rsidR="0034693B" w:rsidRPr="0034693B">
      <w:fldChar w:fldCharType="begin"/>
    </w:r>
    <w:r>
      <w:instrText>PAGE   \* MERGEFORMAT</w:instrText>
    </w:r>
    <w:r w:rsidR="0034693B" w:rsidRPr="0034693B">
      <w:fldChar w:fldCharType="separate"/>
    </w:r>
    <w:r w:rsidR="00EF53AC" w:rsidRPr="00EF53AC">
      <w:rPr>
        <w:noProof/>
        <w:lang w:val="zh-CN"/>
      </w:rPr>
      <w:t>23</w:t>
    </w:r>
    <w:r w:rsidR="0034693B">
      <w:rPr>
        <w:lang w:val="zh-CN"/>
      </w:rPr>
      <w:fldChar w:fldCharType="end"/>
    </w:r>
    <w:r>
      <w:rPr>
        <w:rFonts w:hint="eastAsia"/>
      </w:rPr>
      <w:t>-</w:t>
    </w:r>
  </w:p>
  <w:p w:rsidR="00921022" w:rsidRDefault="009210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3E1" w:rsidRDefault="00CC13E1" w:rsidP="00D347CC">
      <w:r>
        <w:separator/>
      </w:r>
    </w:p>
  </w:footnote>
  <w:footnote w:type="continuationSeparator" w:id="0">
    <w:p w:rsidR="00CC13E1" w:rsidRDefault="00CC13E1" w:rsidP="00D34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D347CC"/>
    <w:rsid w:val="00024592"/>
    <w:rsid w:val="00087C9F"/>
    <w:rsid w:val="000B5FA8"/>
    <w:rsid w:val="000E2D43"/>
    <w:rsid w:val="000F3054"/>
    <w:rsid w:val="000F336D"/>
    <w:rsid w:val="00111385"/>
    <w:rsid w:val="0014624F"/>
    <w:rsid w:val="00156081"/>
    <w:rsid w:val="00185C36"/>
    <w:rsid w:val="00190818"/>
    <w:rsid w:val="001F59AB"/>
    <w:rsid w:val="00200B40"/>
    <w:rsid w:val="002660A9"/>
    <w:rsid w:val="00285644"/>
    <w:rsid w:val="00317980"/>
    <w:rsid w:val="0034693B"/>
    <w:rsid w:val="00361A48"/>
    <w:rsid w:val="00397C58"/>
    <w:rsid w:val="003B0005"/>
    <w:rsid w:val="003B4BF8"/>
    <w:rsid w:val="00425406"/>
    <w:rsid w:val="004A54AA"/>
    <w:rsid w:val="00561995"/>
    <w:rsid w:val="005E3277"/>
    <w:rsid w:val="005E3605"/>
    <w:rsid w:val="005F5081"/>
    <w:rsid w:val="005F7564"/>
    <w:rsid w:val="00623277"/>
    <w:rsid w:val="00634BDD"/>
    <w:rsid w:val="00673353"/>
    <w:rsid w:val="006A4B17"/>
    <w:rsid w:val="006B1DA7"/>
    <w:rsid w:val="006E336E"/>
    <w:rsid w:val="007272D3"/>
    <w:rsid w:val="00745FFB"/>
    <w:rsid w:val="00767E8A"/>
    <w:rsid w:val="00783673"/>
    <w:rsid w:val="007F74B2"/>
    <w:rsid w:val="00861F95"/>
    <w:rsid w:val="008C70C7"/>
    <w:rsid w:val="008F75EB"/>
    <w:rsid w:val="00900D9F"/>
    <w:rsid w:val="00921022"/>
    <w:rsid w:val="009422E8"/>
    <w:rsid w:val="009B3219"/>
    <w:rsid w:val="009D6C5D"/>
    <w:rsid w:val="00A17A3B"/>
    <w:rsid w:val="00A706FE"/>
    <w:rsid w:val="00A94CE3"/>
    <w:rsid w:val="00AB49BC"/>
    <w:rsid w:val="00AD4356"/>
    <w:rsid w:val="00B03CDB"/>
    <w:rsid w:val="00B80935"/>
    <w:rsid w:val="00B84BDC"/>
    <w:rsid w:val="00C0392A"/>
    <w:rsid w:val="00C413A4"/>
    <w:rsid w:val="00CC13E1"/>
    <w:rsid w:val="00CE10D7"/>
    <w:rsid w:val="00CF12EE"/>
    <w:rsid w:val="00D347CC"/>
    <w:rsid w:val="00D913AF"/>
    <w:rsid w:val="00DC0F22"/>
    <w:rsid w:val="00DD1EB6"/>
    <w:rsid w:val="00E4388C"/>
    <w:rsid w:val="00E515EA"/>
    <w:rsid w:val="00E67F28"/>
    <w:rsid w:val="00EA47CC"/>
    <w:rsid w:val="00EB0FE8"/>
    <w:rsid w:val="00EF53AC"/>
    <w:rsid w:val="00F56FE2"/>
    <w:rsid w:val="00FA4192"/>
    <w:rsid w:val="00FD7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47CC"/>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D347CC"/>
    <w:rPr>
      <w:rFonts w:ascii="Times New Roman" w:hAnsi="Times New Roman" w:cs="Times New Roman"/>
      <w:szCs w:val="24"/>
    </w:rPr>
  </w:style>
  <w:style w:type="paragraph" w:styleId="2">
    <w:name w:val="toc 2"/>
    <w:basedOn w:val="a"/>
    <w:next w:val="a"/>
    <w:autoRedefine/>
    <w:rsid w:val="00D347CC"/>
    <w:pPr>
      <w:ind w:leftChars="200" w:left="200"/>
    </w:pPr>
    <w:rPr>
      <w:rFonts w:ascii="Times New Roman" w:hAnsi="Times New Roman" w:cs="Times New Roman"/>
      <w:szCs w:val="24"/>
    </w:rPr>
  </w:style>
  <w:style w:type="paragraph" w:styleId="a3">
    <w:name w:val="header"/>
    <w:basedOn w:val="a"/>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4">
    <w:name w:val="footer"/>
    <w:basedOn w:val="a"/>
    <w:link w:val="Char"/>
    <w:uiPriority w:val="99"/>
    <w:rsid w:val="00D347CC"/>
    <w:pPr>
      <w:tabs>
        <w:tab w:val="center" w:pos="4153"/>
        <w:tab w:val="right" w:pos="8306"/>
      </w:tabs>
      <w:snapToGrid w:val="0"/>
      <w:jc w:val="left"/>
    </w:pPr>
    <w:rPr>
      <w:rFonts w:ascii="Times New Roman" w:hAnsi="Times New Roman" w:cs="Times New Roman"/>
      <w:sz w:val="18"/>
      <w:szCs w:val="18"/>
    </w:rPr>
  </w:style>
  <w:style w:type="paragraph" w:styleId="a5">
    <w:name w:val="Balloon Text"/>
    <w:basedOn w:val="a"/>
    <w:rsid w:val="00D347CC"/>
    <w:rPr>
      <w:sz w:val="18"/>
      <w:szCs w:val="18"/>
    </w:rPr>
  </w:style>
  <w:style w:type="paragraph" w:customStyle="1" w:styleId="Default">
    <w:name w:val="Default"/>
    <w:rsid w:val="00D347CC"/>
    <w:pPr>
      <w:widowControl w:val="0"/>
      <w:autoSpaceDE w:val="0"/>
      <w:autoSpaceDN w:val="0"/>
      <w:adjustRightInd w:val="0"/>
    </w:pPr>
    <w:rPr>
      <w:color w:val="000000"/>
      <w:sz w:val="24"/>
      <w:szCs w:val="24"/>
    </w:rPr>
  </w:style>
  <w:style w:type="paragraph" w:styleId="a6">
    <w:name w:val="footnote text"/>
    <w:basedOn w:val="a"/>
    <w:rsid w:val="00D347CC"/>
    <w:pPr>
      <w:snapToGrid w:val="0"/>
      <w:jc w:val="left"/>
    </w:pPr>
    <w:rPr>
      <w:rFonts w:cs="Times New Roman"/>
      <w:sz w:val="18"/>
      <w:szCs w:val="18"/>
    </w:rPr>
  </w:style>
  <w:style w:type="character" w:styleId="a7">
    <w:name w:val="footnote reference"/>
    <w:rsid w:val="00D347CC"/>
    <w:rPr>
      <w:vertAlign w:val="superscript"/>
    </w:rPr>
  </w:style>
  <w:style w:type="paragraph" w:styleId="a8">
    <w:name w:val="Normal (Web)"/>
    <w:basedOn w:val="a"/>
    <w:uiPriority w:val="99"/>
    <w:unhideWhenUsed/>
    <w:rsid w:val="0014624F"/>
    <w:pPr>
      <w:spacing w:before="100" w:beforeAutospacing="1" w:after="100" w:afterAutospacing="1"/>
      <w:jc w:val="left"/>
    </w:pPr>
    <w:rPr>
      <w:rFonts w:ascii="Times New Roman" w:hAnsi="Times New Roman" w:cs="Times New Roman"/>
      <w:kern w:val="0"/>
      <w:sz w:val="24"/>
      <w:szCs w:val="20"/>
    </w:rPr>
  </w:style>
  <w:style w:type="character" w:customStyle="1" w:styleId="Char">
    <w:name w:val="页脚 Char"/>
    <w:basedOn w:val="a0"/>
    <w:link w:val="a4"/>
    <w:uiPriority w:val="99"/>
    <w:rsid w:val="00397C58"/>
    <w:rPr>
      <w:kern w:val="2"/>
      <w:sz w:val="18"/>
      <w:szCs w:val="18"/>
    </w:rPr>
  </w:style>
  <w:style w:type="character" w:styleId="a9">
    <w:name w:val="page number"/>
    <w:basedOn w:val="a0"/>
    <w:uiPriority w:val="99"/>
    <w:semiHidden/>
    <w:unhideWhenUsed/>
    <w:rsid w:val="00397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53108">
      <w:bodyDiv w:val="1"/>
      <w:marLeft w:val="0"/>
      <w:marRight w:val="0"/>
      <w:marTop w:val="0"/>
      <w:marBottom w:val="0"/>
      <w:divBdr>
        <w:top w:val="none" w:sz="0" w:space="0" w:color="auto"/>
        <w:left w:val="none" w:sz="0" w:space="0" w:color="auto"/>
        <w:bottom w:val="none" w:sz="0" w:space="0" w:color="auto"/>
        <w:right w:val="none" w:sz="0" w:space="0" w:color="auto"/>
      </w:divBdr>
    </w:div>
    <w:div w:id="399324942">
      <w:bodyDiv w:val="1"/>
      <w:marLeft w:val="0"/>
      <w:marRight w:val="0"/>
      <w:marTop w:val="0"/>
      <w:marBottom w:val="0"/>
      <w:divBdr>
        <w:top w:val="none" w:sz="0" w:space="0" w:color="auto"/>
        <w:left w:val="none" w:sz="0" w:space="0" w:color="auto"/>
        <w:bottom w:val="none" w:sz="0" w:space="0" w:color="auto"/>
        <w:right w:val="none" w:sz="0" w:space="0" w:color="auto"/>
      </w:divBdr>
    </w:div>
    <w:div w:id="440731761">
      <w:bodyDiv w:val="1"/>
      <w:marLeft w:val="0"/>
      <w:marRight w:val="0"/>
      <w:marTop w:val="0"/>
      <w:marBottom w:val="0"/>
      <w:divBdr>
        <w:top w:val="none" w:sz="0" w:space="0" w:color="auto"/>
        <w:left w:val="none" w:sz="0" w:space="0" w:color="auto"/>
        <w:bottom w:val="none" w:sz="0" w:space="0" w:color="auto"/>
        <w:right w:val="none" w:sz="0" w:space="0" w:color="auto"/>
      </w:divBdr>
    </w:div>
    <w:div w:id="732584369">
      <w:bodyDiv w:val="1"/>
      <w:marLeft w:val="0"/>
      <w:marRight w:val="0"/>
      <w:marTop w:val="0"/>
      <w:marBottom w:val="0"/>
      <w:divBdr>
        <w:top w:val="none" w:sz="0" w:space="0" w:color="auto"/>
        <w:left w:val="none" w:sz="0" w:space="0" w:color="auto"/>
        <w:bottom w:val="none" w:sz="0" w:space="0" w:color="auto"/>
        <w:right w:val="none" w:sz="0" w:space="0" w:color="auto"/>
      </w:divBdr>
    </w:div>
    <w:div w:id="825124113">
      <w:bodyDiv w:val="1"/>
      <w:marLeft w:val="0"/>
      <w:marRight w:val="0"/>
      <w:marTop w:val="0"/>
      <w:marBottom w:val="0"/>
      <w:divBdr>
        <w:top w:val="none" w:sz="0" w:space="0" w:color="auto"/>
        <w:left w:val="none" w:sz="0" w:space="0" w:color="auto"/>
        <w:bottom w:val="none" w:sz="0" w:space="0" w:color="auto"/>
        <w:right w:val="none" w:sz="0" w:space="0" w:color="auto"/>
      </w:divBdr>
    </w:div>
    <w:div w:id="856965300">
      <w:bodyDiv w:val="1"/>
      <w:marLeft w:val="0"/>
      <w:marRight w:val="0"/>
      <w:marTop w:val="0"/>
      <w:marBottom w:val="0"/>
      <w:divBdr>
        <w:top w:val="none" w:sz="0" w:space="0" w:color="auto"/>
        <w:left w:val="none" w:sz="0" w:space="0" w:color="auto"/>
        <w:bottom w:val="none" w:sz="0" w:space="0" w:color="auto"/>
        <w:right w:val="none" w:sz="0" w:space="0" w:color="auto"/>
      </w:divBdr>
    </w:div>
    <w:div w:id="1058213229">
      <w:bodyDiv w:val="1"/>
      <w:marLeft w:val="0"/>
      <w:marRight w:val="0"/>
      <w:marTop w:val="0"/>
      <w:marBottom w:val="0"/>
      <w:divBdr>
        <w:top w:val="none" w:sz="0" w:space="0" w:color="auto"/>
        <w:left w:val="none" w:sz="0" w:space="0" w:color="auto"/>
        <w:bottom w:val="none" w:sz="0" w:space="0" w:color="auto"/>
        <w:right w:val="none" w:sz="0" w:space="0" w:color="auto"/>
      </w:divBdr>
    </w:div>
    <w:div w:id="1109356724">
      <w:bodyDiv w:val="1"/>
      <w:marLeft w:val="0"/>
      <w:marRight w:val="0"/>
      <w:marTop w:val="0"/>
      <w:marBottom w:val="0"/>
      <w:divBdr>
        <w:top w:val="none" w:sz="0" w:space="0" w:color="auto"/>
        <w:left w:val="none" w:sz="0" w:space="0" w:color="auto"/>
        <w:bottom w:val="none" w:sz="0" w:space="0" w:color="auto"/>
        <w:right w:val="none" w:sz="0" w:space="0" w:color="auto"/>
      </w:divBdr>
    </w:div>
    <w:div w:id="1325816954">
      <w:bodyDiv w:val="1"/>
      <w:marLeft w:val="0"/>
      <w:marRight w:val="0"/>
      <w:marTop w:val="0"/>
      <w:marBottom w:val="0"/>
      <w:divBdr>
        <w:top w:val="none" w:sz="0" w:space="0" w:color="auto"/>
        <w:left w:val="none" w:sz="0" w:space="0" w:color="auto"/>
        <w:bottom w:val="none" w:sz="0" w:space="0" w:color="auto"/>
        <w:right w:val="none" w:sz="0" w:space="0" w:color="auto"/>
      </w:divBdr>
    </w:div>
    <w:div w:id="1333069610">
      <w:bodyDiv w:val="1"/>
      <w:marLeft w:val="0"/>
      <w:marRight w:val="0"/>
      <w:marTop w:val="0"/>
      <w:marBottom w:val="0"/>
      <w:divBdr>
        <w:top w:val="none" w:sz="0" w:space="0" w:color="auto"/>
        <w:left w:val="none" w:sz="0" w:space="0" w:color="auto"/>
        <w:bottom w:val="none" w:sz="0" w:space="0" w:color="auto"/>
        <w:right w:val="none" w:sz="0" w:space="0" w:color="auto"/>
      </w:divBdr>
    </w:div>
    <w:div w:id="1492285605">
      <w:bodyDiv w:val="1"/>
      <w:marLeft w:val="0"/>
      <w:marRight w:val="0"/>
      <w:marTop w:val="0"/>
      <w:marBottom w:val="0"/>
      <w:divBdr>
        <w:top w:val="none" w:sz="0" w:space="0" w:color="auto"/>
        <w:left w:val="none" w:sz="0" w:space="0" w:color="auto"/>
        <w:bottom w:val="none" w:sz="0" w:space="0" w:color="auto"/>
        <w:right w:val="none" w:sz="0" w:space="0" w:color="auto"/>
      </w:divBdr>
    </w:div>
    <w:div w:id="1572276875">
      <w:bodyDiv w:val="1"/>
      <w:marLeft w:val="0"/>
      <w:marRight w:val="0"/>
      <w:marTop w:val="0"/>
      <w:marBottom w:val="0"/>
      <w:divBdr>
        <w:top w:val="none" w:sz="0" w:space="0" w:color="auto"/>
        <w:left w:val="none" w:sz="0" w:space="0" w:color="auto"/>
        <w:bottom w:val="none" w:sz="0" w:space="0" w:color="auto"/>
        <w:right w:val="none" w:sz="0" w:space="0" w:color="auto"/>
      </w:divBdr>
    </w:div>
    <w:div w:id="1581987042">
      <w:bodyDiv w:val="1"/>
      <w:marLeft w:val="0"/>
      <w:marRight w:val="0"/>
      <w:marTop w:val="0"/>
      <w:marBottom w:val="0"/>
      <w:divBdr>
        <w:top w:val="none" w:sz="0" w:space="0" w:color="auto"/>
        <w:left w:val="none" w:sz="0" w:space="0" w:color="auto"/>
        <w:bottom w:val="none" w:sz="0" w:space="0" w:color="auto"/>
        <w:right w:val="none" w:sz="0" w:space="0" w:color="auto"/>
      </w:divBdr>
    </w:div>
    <w:div w:id="1797871857">
      <w:bodyDiv w:val="1"/>
      <w:marLeft w:val="0"/>
      <w:marRight w:val="0"/>
      <w:marTop w:val="0"/>
      <w:marBottom w:val="0"/>
      <w:divBdr>
        <w:top w:val="none" w:sz="0" w:space="0" w:color="auto"/>
        <w:left w:val="none" w:sz="0" w:space="0" w:color="auto"/>
        <w:bottom w:val="none" w:sz="0" w:space="0" w:color="auto"/>
        <w:right w:val="none" w:sz="0" w:space="0" w:color="auto"/>
      </w:divBdr>
    </w:div>
    <w:div w:id="1885219112">
      <w:bodyDiv w:val="1"/>
      <w:marLeft w:val="0"/>
      <w:marRight w:val="0"/>
      <w:marTop w:val="0"/>
      <w:marBottom w:val="0"/>
      <w:divBdr>
        <w:top w:val="none" w:sz="0" w:space="0" w:color="auto"/>
        <w:left w:val="none" w:sz="0" w:space="0" w:color="auto"/>
        <w:bottom w:val="none" w:sz="0" w:space="0" w:color="auto"/>
        <w:right w:val="none" w:sz="0" w:space="0" w:color="auto"/>
      </w:divBdr>
    </w:div>
    <w:div w:id="2118986221">
      <w:bodyDiv w:val="1"/>
      <w:marLeft w:val="0"/>
      <w:marRight w:val="0"/>
      <w:marTop w:val="0"/>
      <w:marBottom w:val="0"/>
      <w:divBdr>
        <w:top w:val="none" w:sz="0" w:space="0" w:color="auto"/>
        <w:left w:val="none" w:sz="0" w:space="0" w:color="auto"/>
        <w:bottom w:val="none" w:sz="0" w:space="0" w:color="auto"/>
        <w:right w:val="none" w:sz="0" w:space="0" w:color="auto"/>
      </w:divBdr>
    </w:div>
    <w:div w:id="214495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27</Pages>
  <Words>2107</Words>
  <Characters>12010</Characters>
  <Application>Microsoft Office Word</Application>
  <DocSecurity>0</DocSecurity>
  <Lines>100</Lines>
  <Paragraphs>28</Paragraphs>
  <ScaleCrop>false</ScaleCrop>
  <Company>Microsoft</Company>
  <LinksUpToDate>false</LinksUpToDate>
  <CharactersWithSpaces>14089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15</cp:revision>
  <cp:lastPrinted>2018-01-30T06:12:00Z</cp:lastPrinted>
  <dcterms:created xsi:type="dcterms:W3CDTF">2021-04-12T02:53:00Z</dcterms:created>
  <dcterms:modified xsi:type="dcterms:W3CDTF">2021-04-12T07:46:00Z</dcterms:modified>
</cp:coreProperties>
</file>